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A55070" w14:textId="77777777" w:rsidR="00612723" w:rsidRDefault="00612723">
      <w:pPr>
        <w:rPr>
          <w:rFonts w:ascii="Arial" w:hAnsi="Arial" w:cs="Arial"/>
          <w:b/>
          <w:sz w:val="28"/>
          <w:szCs w:val="28"/>
        </w:rPr>
      </w:pPr>
      <w:r w:rsidRPr="00612723">
        <w:rPr>
          <w:rFonts w:ascii="Arial" w:hAnsi="Arial" w:cs="Arial"/>
          <w:b/>
          <w:sz w:val="28"/>
          <w:szCs w:val="28"/>
        </w:rPr>
        <w:t>Beyond Theory: Ten</w:t>
      </w:r>
      <w:r w:rsidRPr="00612723">
        <w:rPr>
          <w:rFonts w:ascii="Cambria Math" w:hAnsi="Cambria Math" w:cs="Cambria Math"/>
          <w:b/>
          <w:sz w:val="28"/>
          <w:szCs w:val="28"/>
        </w:rPr>
        <w:t>‑</w:t>
      </w:r>
      <w:r w:rsidRPr="00612723">
        <w:rPr>
          <w:rFonts w:ascii="Arial" w:hAnsi="Arial" w:cs="Arial"/>
          <w:b/>
          <w:sz w:val="28"/>
          <w:szCs w:val="28"/>
        </w:rPr>
        <w:t>Year Evidence of Grey–Green Integration for 30</w:t>
      </w:r>
      <w:r w:rsidRPr="00612723">
        <w:rPr>
          <w:rFonts w:ascii="Cambria Math" w:hAnsi="Cambria Math" w:cs="Cambria Math"/>
          <w:b/>
          <w:sz w:val="28"/>
          <w:szCs w:val="28"/>
        </w:rPr>
        <w:t>‑</w:t>
      </w:r>
      <w:r w:rsidRPr="00612723">
        <w:rPr>
          <w:rFonts w:ascii="Arial" w:hAnsi="Arial" w:cs="Arial"/>
          <w:b/>
          <w:sz w:val="28"/>
          <w:szCs w:val="28"/>
        </w:rPr>
        <w:t>Year Flood Mitigation and Water Quality Restoration in Zhenjiang</w:t>
      </w:r>
    </w:p>
    <w:p w14:paraId="00ED6F51" w14:textId="77777777" w:rsidR="00F60060" w:rsidRDefault="00F60060">
      <w:pPr>
        <w:rPr>
          <w:rFonts w:ascii="Arial" w:hAnsi="Arial" w:cs="Arial"/>
          <w:sz w:val="28"/>
          <w:szCs w:val="28"/>
        </w:rPr>
      </w:pPr>
      <w:r w:rsidRPr="00F60060">
        <w:rPr>
          <w:rFonts w:ascii="Arial" w:hAnsi="Arial" w:cs="Arial"/>
          <w:sz w:val="28"/>
          <w:szCs w:val="28"/>
        </w:rPr>
        <w:t>Au-</w:t>
      </w:r>
      <w:proofErr w:type="spellStart"/>
      <w:r w:rsidRPr="00F60060">
        <w:rPr>
          <w:rFonts w:ascii="Arial" w:hAnsi="Arial" w:cs="Arial"/>
          <w:sz w:val="28"/>
          <w:szCs w:val="28"/>
        </w:rPr>
        <w:t>delà</w:t>
      </w:r>
      <w:proofErr w:type="spellEnd"/>
      <w:r w:rsidRPr="00F60060">
        <w:rPr>
          <w:rFonts w:ascii="Arial" w:hAnsi="Arial" w:cs="Arial"/>
          <w:sz w:val="28"/>
          <w:szCs w:val="28"/>
        </w:rPr>
        <w:t xml:space="preserve"> de la </w:t>
      </w:r>
      <w:proofErr w:type="spellStart"/>
      <w:proofErr w:type="gramStart"/>
      <w:r w:rsidRPr="00F60060">
        <w:rPr>
          <w:rFonts w:ascii="Arial" w:hAnsi="Arial" w:cs="Arial"/>
          <w:sz w:val="28"/>
          <w:szCs w:val="28"/>
        </w:rPr>
        <w:t>théorie</w:t>
      </w:r>
      <w:proofErr w:type="spellEnd"/>
      <w:r w:rsidRPr="00F60060">
        <w:rPr>
          <w:rFonts w:ascii="Arial" w:hAnsi="Arial" w:cs="Arial"/>
          <w:sz w:val="28"/>
          <w:szCs w:val="28"/>
        </w:rPr>
        <w:t xml:space="preserve"> :</w:t>
      </w:r>
      <w:proofErr w:type="gramEnd"/>
      <w:r w:rsidRPr="00F60060">
        <w:rPr>
          <w:rFonts w:ascii="Arial" w:hAnsi="Arial" w:cs="Arial"/>
          <w:sz w:val="28"/>
          <w:szCs w:val="28"/>
        </w:rPr>
        <w:t xml:space="preserve"> dix </w:t>
      </w:r>
      <w:proofErr w:type="spellStart"/>
      <w:r w:rsidRPr="00F60060">
        <w:rPr>
          <w:rFonts w:ascii="Arial" w:hAnsi="Arial" w:cs="Arial"/>
          <w:sz w:val="28"/>
          <w:szCs w:val="28"/>
        </w:rPr>
        <w:t>ans</w:t>
      </w:r>
      <w:proofErr w:type="spellEnd"/>
      <w:r w:rsidRPr="00F60060">
        <w:rPr>
          <w:rFonts w:ascii="Arial" w:hAnsi="Arial" w:cs="Arial"/>
          <w:sz w:val="28"/>
          <w:szCs w:val="28"/>
        </w:rPr>
        <w:t xml:space="preserve"> de </w:t>
      </w:r>
      <w:proofErr w:type="spellStart"/>
      <w:r w:rsidRPr="00F60060">
        <w:rPr>
          <w:rFonts w:ascii="Arial" w:hAnsi="Arial" w:cs="Arial"/>
          <w:sz w:val="28"/>
          <w:szCs w:val="28"/>
        </w:rPr>
        <w:t>preuves</w:t>
      </w:r>
      <w:proofErr w:type="spellEnd"/>
      <w:r w:rsidRPr="00F60060">
        <w:rPr>
          <w:rFonts w:ascii="Arial" w:hAnsi="Arial" w:cs="Arial"/>
          <w:sz w:val="28"/>
          <w:szCs w:val="28"/>
        </w:rPr>
        <w:t xml:space="preserve"> </w:t>
      </w:r>
      <w:proofErr w:type="spellStart"/>
      <w:r w:rsidRPr="00F60060">
        <w:rPr>
          <w:rFonts w:ascii="Arial" w:hAnsi="Arial" w:cs="Arial"/>
          <w:sz w:val="28"/>
          <w:szCs w:val="28"/>
        </w:rPr>
        <w:t>d’une</w:t>
      </w:r>
      <w:proofErr w:type="spellEnd"/>
      <w:r w:rsidRPr="00F60060">
        <w:rPr>
          <w:rFonts w:ascii="Arial" w:hAnsi="Arial" w:cs="Arial"/>
          <w:sz w:val="28"/>
          <w:szCs w:val="28"/>
        </w:rPr>
        <w:t xml:space="preserve"> </w:t>
      </w:r>
      <w:proofErr w:type="spellStart"/>
      <w:r w:rsidRPr="00F60060">
        <w:rPr>
          <w:rFonts w:ascii="Arial" w:hAnsi="Arial" w:cs="Arial"/>
          <w:sz w:val="28"/>
          <w:szCs w:val="28"/>
        </w:rPr>
        <w:t>intégration</w:t>
      </w:r>
      <w:proofErr w:type="spellEnd"/>
      <w:r w:rsidRPr="00F60060">
        <w:rPr>
          <w:rFonts w:ascii="Arial" w:hAnsi="Arial" w:cs="Arial"/>
          <w:sz w:val="28"/>
          <w:szCs w:val="28"/>
        </w:rPr>
        <w:t xml:space="preserve"> gris-vert-bleu pour </w:t>
      </w:r>
      <w:proofErr w:type="spellStart"/>
      <w:r w:rsidRPr="00F60060">
        <w:rPr>
          <w:rFonts w:ascii="Arial" w:hAnsi="Arial" w:cs="Arial"/>
          <w:sz w:val="28"/>
          <w:szCs w:val="28"/>
        </w:rPr>
        <w:t>l’atténuation</w:t>
      </w:r>
      <w:proofErr w:type="spellEnd"/>
      <w:r w:rsidRPr="00F60060">
        <w:rPr>
          <w:rFonts w:ascii="Arial" w:hAnsi="Arial" w:cs="Arial"/>
          <w:sz w:val="28"/>
          <w:szCs w:val="28"/>
        </w:rPr>
        <w:t xml:space="preserve"> des </w:t>
      </w:r>
      <w:proofErr w:type="spellStart"/>
      <w:r w:rsidRPr="00F60060">
        <w:rPr>
          <w:rFonts w:ascii="Arial" w:hAnsi="Arial" w:cs="Arial"/>
          <w:sz w:val="28"/>
          <w:szCs w:val="28"/>
        </w:rPr>
        <w:t>inondations</w:t>
      </w:r>
      <w:proofErr w:type="spellEnd"/>
      <w:r w:rsidRPr="00F60060">
        <w:rPr>
          <w:rFonts w:ascii="Arial" w:hAnsi="Arial" w:cs="Arial"/>
          <w:sz w:val="28"/>
          <w:szCs w:val="28"/>
        </w:rPr>
        <w:t xml:space="preserve"> </w:t>
      </w:r>
      <w:proofErr w:type="spellStart"/>
      <w:r w:rsidRPr="00F60060">
        <w:rPr>
          <w:rFonts w:ascii="Arial" w:hAnsi="Arial" w:cs="Arial"/>
          <w:sz w:val="28"/>
          <w:szCs w:val="28"/>
        </w:rPr>
        <w:t>trentennales</w:t>
      </w:r>
      <w:proofErr w:type="spellEnd"/>
      <w:r w:rsidRPr="00F60060">
        <w:rPr>
          <w:rFonts w:ascii="Arial" w:hAnsi="Arial" w:cs="Arial"/>
          <w:sz w:val="28"/>
          <w:szCs w:val="28"/>
        </w:rPr>
        <w:t xml:space="preserve"> et la restauration de la </w:t>
      </w:r>
      <w:proofErr w:type="spellStart"/>
      <w:r w:rsidRPr="00F60060">
        <w:rPr>
          <w:rFonts w:ascii="Arial" w:hAnsi="Arial" w:cs="Arial"/>
          <w:sz w:val="28"/>
          <w:szCs w:val="28"/>
        </w:rPr>
        <w:t>qualité</w:t>
      </w:r>
      <w:proofErr w:type="spellEnd"/>
      <w:r w:rsidRPr="00F60060">
        <w:rPr>
          <w:rFonts w:ascii="Arial" w:hAnsi="Arial" w:cs="Arial"/>
          <w:sz w:val="28"/>
          <w:szCs w:val="28"/>
        </w:rPr>
        <w:t xml:space="preserve"> de </w:t>
      </w:r>
      <w:proofErr w:type="spellStart"/>
      <w:r w:rsidRPr="00F60060">
        <w:rPr>
          <w:rFonts w:ascii="Arial" w:hAnsi="Arial" w:cs="Arial"/>
          <w:sz w:val="28"/>
          <w:szCs w:val="28"/>
        </w:rPr>
        <w:t>l’eau</w:t>
      </w:r>
      <w:proofErr w:type="spellEnd"/>
      <w:r w:rsidRPr="00F60060">
        <w:rPr>
          <w:rFonts w:ascii="Arial" w:hAnsi="Arial" w:cs="Arial"/>
          <w:sz w:val="28"/>
          <w:szCs w:val="28"/>
        </w:rPr>
        <w:t xml:space="preserve"> à Zhenjiang (Chine)</w:t>
      </w:r>
      <w:r w:rsidRPr="00F60060">
        <w:rPr>
          <w:rFonts w:ascii="Arial" w:hAnsi="Arial" w:cs="Arial"/>
          <w:sz w:val="28"/>
          <w:szCs w:val="28"/>
        </w:rPr>
        <w:t xml:space="preserve"> </w:t>
      </w:r>
    </w:p>
    <w:p w14:paraId="150F3A58" w14:textId="7B68DCD9" w:rsidR="00443F47" w:rsidRPr="00E436FB" w:rsidRDefault="00443F47">
      <w:pPr>
        <w:rPr>
          <w:rFonts w:ascii="Times New Roman" w:hAnsi="Times New Roman" w:cs="Times New Roman" w:hint="eastAsia"/>
          <w:sz w:val="24"/>
          <w:szCs w:val="24"/>
        </w:rPr>
      </w:pPr>
      <w:r w:rsidRPr="00E436FB">
        <w:rPr>
          <w:rFonts w:ascii="Times New Roman" w:hAnsi="Times New Roman" w:cs="Times New Roman"/>
          <w:sz w:val="24"/>
          <w:szCs w:val="24"/>
        </w:rPr>
        <w:t>Nian She</w:t>
      </w:r>
      <w:proofErr w:type="gramStart"/>
      <w:r w:rsidR="001F3A7F">
        <w:rPr>
          <w:rFonts w:ascii="Times New Roman" w:hAnsi="Times New Roman" w:cs="Times New Roman" w:hint="eastAsia"/>
          <w:sz w:val="24"/>
          <w:szCs w:val="24"/>
        </w:rPr>
        <w:t>*</w:t>
      </w:r>
      <w:r w:rsidRPr="00E436FB">
        <w:rPr>
          <w:rFonts w:ascii="Times New Roman" w:hAnsi="Times New Roman" w:cs="Times New Roman"/>
          <w:sz w:val="24"/>
          <w:szCs w:val="24"/>
          <w:vertAlign w:val="superscript"/>
        </w:rPr>
        <w:t xml:space="preserve"> </w:t>
      </w:r>
      <w:r w:rsidR="00612723">
        <w:rPr>
          <w:rFonts w:ascii="Times New Roman" w:hAnsi="Times New Roman" w:cs="Times New Roman" w:hint="eastAsia"/>
          <w:sz w:val="24"/>
          <w:szCs w:val="24"/>
        </w:rPr>
        <w:t>,</w:t>
      </w:r>
      <w:proofErr w:type="spellStart"/>
      <w:r w:rsidR="00612723">
        <w:rPr>
          <w:rFonts w:ascii="Times New Roman" w:hAnsi="Times New Roman" w:cs="Times New Roman" w:hint="eastAsia"/>
          <w:sz w:val="24"/>
          <w:szCs w:val="24"/>
        </w:rPr>
        <w:t>Kairong</w:t>
      </w:r>
      <w:proofErr w:type="spellEnd"/>
      <w:proofErr w:type="gramEnd"/>
      <w:r w:rsidR="00612723">
        <w:rPr>
          <w:rFonts w:ascii="Times New Roman" w:hAnsi="Times New Roman" w:cs="Times New Roman" w:hint="eastAsia"/>
          <w:sz w:val="24"/>
          <w:szCs w:val="24"/>
        </w:rPr>
        <w:t xml:space="preserve"> Lin</w:t>
      </w:r>
      <w:r w:rsidR="001F3A7F">
        <w:rPr>
          <w:rFonts w:ascii="Times New Roman" w:hAnsi="Times New Roman" w:cs="Times New Roman" w:hint="eastAsia"/>
          <w:sz w:val="24"/>
          <w:szCs w:val="24"/>
        </w:rPr>
        <w:t>*</w:t>
      </w:r>
      <w:r w:rsidR="00612723">
        <w:rPr>
          <w:rFonts w:ascii="Times New Roman" w:hAnsi="Times New Roman" w:cs="Times New Roman" w:hint="eastAsia"/>
          <w:sz w:val="24"/>
          <w:szCs w:val="24"/>
        </w:rPr>
        <w:t xml:space="preserve">, </w:t>
      </w:r>
      <w:proofErr w:type="spellStart"/>
      <w:r w:rsidR="00612723">
        <w:rPr>
          <w:rFonts w:ascii="Times New Roman" w:hAnsi="Times New Roman" w:cs="Times New Roman" w:hint="eastAsia"/>
          <w:sz w:val="24"/>
          <w:szCs w:val="24"/>
        </w:rPr>
        <w:t>Yezhao</w:t>
      </w:r>
      <w:proofErr w:type="spellEnd"/>
      <w:r w:rsidR="00612723">
        <w:rPr>
          <w:rFonts w:ascii="Times New Roman" w:hAnsi="Times New Roman" w:cs="Times New Roman" w:hint="eastAsia"/>
          <w:sz w:val="24"/>
          <w:szCs w:val="24"/>
        </w:rPr>
        <w:t xml:space="preserve"> Cai*</w:t>
      </w:r>
      <w:r w:rsidR="00461CC1">
        <w:rPr>
          <w:rFonts w:ascii="Times New Roman" w:hAnsi="Times New Roman" w:cs="Times New Roman"/>
          <w:sz w:val="24"/>
          <w:szCs w:val="24"/>
        </w:rPr>
        <w:t>, Jian Hu</w:t>
      </w:r>
    </w:p>
    <w:p w14:paraId="6725485A" w14:textId="5C0B1E65" w:rsidR="00443F47" w:rsidRPr="00E436FB" w:rsidRDefault="001F3A7F">
      <w:pPr>
        <w:rPr>
          <w:rFonts w:ascii="Times New Roman" w:hAnsi="Times New Roman" w:cs="Times New Roman"/>
          <w:sz w:val="24"/>
          <w:szCs w:val="24"/>
        </w:rPr>
      </w:pPr>
      <w:r>
        <w:rPr>
          <w:rFonts w:ascii="Times New Roman" w:hAnsi="Times New Roman" w:cs="Times New Roman" w:hint="eastAsia"/>
          <w:sz w:val="24"/>
          <w:szCs w:val="24"/>
          <w:vertAlign w:val="superscript"/>
        </w:rPr>
        <w:t>*</w:t>
      </w:r>
      <w:r w:rsidR="00443F47" w:rsidRPr="00E436FB">
        <w:rPr>
          <w:rFonts w:ascii="Times New Roman" w:hAnsi="Times New Roman" w:cs="Times New Roman"/>
          <w:sz w:val="24"/>
          <w:szCs w:val="24"/>
        </w:rPr>
        <w:t xml:space="preserve"> </w:t>
      </w:r>
      <w:r w:rsidR="00612723">
        <w:rPr>
          <w:rFonts w:ascii="Times New Roman" w:hAnsi="Times New Roman" w:cs="Times New Roman" w:hint="eastAsia"/>
          <w:sz w:val="24"/>
          <w:szCs w:val="24"/>
        </w:rPr>
        <w:t>Sun Yat-sen University</w:t>
      </w:r>
      <w:r w:rsidR="00443F47" w:rsidRPr="00E436FB">
        <w:rPr>
          <w:rFonts w:ascii="Times New Roman" w:hAnsi="Times New Roman" w:cs="Times New Roman"/>
          <w:sz w:val="24"/>
          <w:szCs w:val="24"/>
        </w:rPr>
        <w:t xml:space="preserve">, </w:t>
      </w:r>
      <w:r w:rsidR="00612723">
        <w:rPr>
          <w:rFonts w:ascii="Times New Roman" w:hAnsi="Times New Roman" w:cs="Times New Roman" w:hint="eastAsia"/>
          <w:sz w:val="24"/>
          <w:szCs w:val="24"/>
        </w:rPr>
        <w:t>101</w:t>
      </w:r>
      <w:r w:rsidR="00443F47" w:rsidRPr="00E436FB">
        <w:rPr>
          <w:rFonts w:ascii="Times New Roman" w:hAnsi="Times New Roman" w:cs="Times New Roman"/>
          <w:sz w:val="24"/>
          <w:szCs w:val="24"/>
        </w:rPr>
        <w:t xml:space="preserve"> </w:t>
      </w:r>
      <w:r w:rsidR="00612723">
        <w:rPr>
          <w:rFonts w:ascii="Times New Roman" w:hAnsi="Times New Roman" w:cs="Times New Roman" w:hint="eastAsia"/>
          <w:sz w:val="24"/>
          <w:szCs w:val="24"/>
        </w:rPr>
        <w:t xml:space="preserve">University </w:t>
      </w:r>
      <w:r w:rsidR="00443F47" w:rsidRPr="00E436FB">
        <w:rPr>
          <w:rFonts w:ascii="Times New Roman" w:hAnsi="Times New Roman" w:cs="Times New Roman"/>
          <w:sz w:val="24"/>
          <w:szCs w:val="24"/>
        </w:rPr>
        <w:t xml:space="preserve">Road, </w:t>
      </w:r>
      <w:r w:rsidR="00612723">
        <w:rPr>
          <w:rFonts w:ascii="Times New Roman" w:hAnsi="Times New Roman" w:cs="Times New Roman" w:hint="eastAsia"/>
          <w:sz w:val="24"/>
          <w:szCs w:val="24"/>
        </w:rPr>
        <w:t>Zhuhai</w:t>
      </w:r>
      <w:r w:rsidR="00443F47" w:rsidRPr="00E436FB">
        <w:rPr>
          <w:rFonts w:ascii="Times New Roman" w:hAnsi="Times New Roman" w:cs="Times New Roman"/>
          <w:sz w:val="24"/>
          <w:szCs w:val="24"/>
        </w:rPr>
        <w:t>, PR China 510006</w:t>
      </w:r>
      <w:r w:rsidR="00676A3B" w:rsidRPr="00E436FB">
        <w:rPr>
          <w:rFonts w:ascii="Times New Roman" w:hAnsi="Times New Roman" w:cs="Times New Roman"/>
          <w:sz w:val="24"/>
          <w:szCs w:val="24"/>
        </w:rPr>
        <w:t>. Nian.she@</w:t>
      </w:r>
      <w:r w:rsidR="00612723">
        <w:rPr>
          <w:rFonts w:ascii="Times New Roman" w:hAnsi="Times New Roman" w:cs="Times New Roman" w:hint="eastAsia"/>
          <w:sz w:val="24"/>
          <w:szCs w:val="24"/>
        </w:rPr>
        <w:t>mail.sysu.edu</w:t>
      </w:r>
    </w:p>
    <w:p w14:paraId="1656DE54" w14:textId="6AC9614B" w:rsidR="00E92B13" w:rsidRPr="001F3A7F" w:rsidRDefault="001F3A7F">
      <w:pPr>
        <w:rPr>
          <w:rFonts w:ascii="Times New Roman" w:hAnsi="Times New Roman" w:cs="Times New Roman"/>
          <w:sz w:val="24"/>
          <w:szCs w:val="24"/>
        </w:rPr>
      </w:pPr>
      <w:r>
        <w:rPr>
          <w:rFonts w:ascii="Times New Roman" w:hAnsi="Times New Roman" w:cs="Times New Roman" w:hint="eastAsia"/>
          <w:sz w:val="24"/>
          <w:szCs w:val="24"/>
          <w:vertAlign w:val="superscript"/>
        </w:rPr>
        <w:t>**</w:t>
      </w:r>
      <w:r w:rsidR="00676A3B" w:rsidRPr="00E436FB">
        <w:rPr>
          <w:rFonts w:ascii="Times New Roman" w:hAnsi="Times New Roman" w:cs="Times New Roman"/>
          <w:sz w:val="24"/>
          <w:szCs w:val="24"/>
          <w:vertAlign w:val="superscript"/>
        </w:rPr>
        <w:t xml:space="preserve"> </w:t>
      </w:r>
      <w:r w:rsidR="00461CC1" w:rsidRPr="00461CC1">
        <w:rPr>
          <w:rFonts w:ascii="Times New Roman" w:hAnsi="Times New Roman" w:cs="Times New Roman"/>
          <w:sz w:val="24"/>
          <w:szCs w:val="24"/>
        </w:rPr>
        <w:t xml:space="preserve">Jiangsu </w:t>
      </w:r>
      <w:proofErr w:type="spellStart"/>
      <w:r w:rsidR="00461CC1" w:rsidRPr="00461CC1">
        <w:rPr>
          <w:rFonts w:ascii="Times New Roman" w:hAnsi="Times New Roman" w:cs="Times New Roman"/>
          <w:sz w:val="24"/>
          <w:szCs w:val="24"/>
        </w:rPr>
        <w:t>Manjiangchun</w:t>
      </w:r>
      <w:proofErr w:type="spellEnd"/>
      <w:r w:rsidR="00461CC1" w:rsidRPr="00461CC1">
        <w:rPr>
          <w:rFonts w:ascii="Times New Roman" w:hAnsi="Times New Roman" w:cs="Times New Roman"/>
          <w:sz w:val="24"/>
          <w:szCs w:val="24"/>
        </w:rPr>
        <w:t xml:space="preserve"> Urban Planning and Design Research Co., Ltd</w:t>
      </w:r>
      <w:r w:rsidR="00676A3B" w:rsidRPr="00E436FB">
        <w:rPr>
          <w:rFonts w:ascii="Times New Roman" w:hAnsi="Times New Roman" w:cs="Times New Roman"/>
          <w:sz w:val="24"/>
          <w:szCs w:val="24"/>
        </w:rPr>
        <w:t>.</w:t>
      </w:r>
      <w:r w:rsidR="00850198" w:rsidRPr="00E436FB">
        <w:rPr>
          <w:rFonts w:ascii="Times New Roman" w:hAnsi="Times New Roman" w:cs="Times New Roman"/>
          <w:sz w:val="24"/>
          <w:szCs w:val="24"/>
        </w:rPr>
        <w:t xml:space="preserve"> </w:t>
      </w:r>
      <w:proofErr w:type="spellStart"/>
      <w:r w:rsidR="00461CC1" w:rsidRPr="00461CC1">
        <w:rPr>
          <w:rFonts w:ascii="Times New Roman" w:hAnsi="Times New Roman" w:cs="Times New Roman"/>
          <w:sz w:val="24"/>
          <w:szCs w:val="24"/>
        </w:rPr>
        <w:t>Zhaoshang</w:t>
      </w:r>
      <w:proofErr w:type="spellEnd"/>
      <w:r w:rsidR="00461CC1" w:rsidRPr="00461CC1">
        <w:rPr>
          <w:rFonts w:ascii="Times New Roman" w:hAnsi="Times New Roman" w:cs="Times New Roman"/>
          <w:sz w:val="24"/>
          <w:szCs w:val="24"/>
        </w:rPr>
        <w:t xml:space="preserve"> Beigu Bay, No. 253 </w:t>
      </w:r>
      <w:proofErr w:type="spellStart"/>
      <w:r w:rsidR="00461CC1" w:rsidRPr="00461CC1">
        <w:rPr>
          <w:rFonts w:ascii="Times New Roman" w:hAnsi="Times New Roman" w:cs="Times New Roman"/>
          <w:sz w:val="24"/>
          <w:szCs w:val="24"/>
        </w:rPr>
        <w:t>Mengxi</w:t>
      </w:r>
      <w:proofErr w:type="spellEnd"/>
      <w:r w:rsidR="00461CC1" w:rsidRPr="00461CC1">
        <w:rPr>
          <w:rFonts w:ascii="Times New Roman" w:hAnsi="Times New Roman" w:cs="Times New Roman"/>
          <w:sz w:val="24"/>
          <w:szCs w:val="24"/>
        </w:rPr>
        <w:t xml:space="preserve"> Road, </w:t>
      </w:r>
      <w:proofErr w:type="spellStart"/>
      <w:r w:rsidR="00461CC1" w:rsidRPr="00461CC1">
        <w:rPr>
          <w:rFonts w:ascii="Times New Roman" w:hAnsi="Times New Roman" w:cs="Times New Roman"/>
          <w:sz w:val="24"/>
          <w:szCs w:val="24"/>
        </w:rPr>
        <w:t>Jingkou</w:t>
      </w:r>
      <w:proofErr w:type="spellEnd"/>
      <w:r w:rsidR="00461CC1" w:rsidRPr="00461CC1">
        <w:rPr>
          <w:rFonts w:ascii="Times New Roman" w:hAnsi="Times New Roman" w:cs="Times New Roman"/>
          <w:sz w:val="24"/>
          <w:szCs w:val="24"/>
        </w:rPr>
        <w:t xml:space="preserve"> District, Zhenjiang City</w:t>
      </w:r>
      <w:r w:rsidR="00676A3B" w:rsidRPr="00E436FB">
        <w:rPr>
          <w:rFonts w:ascii="Times New Roman" w:hAnsi="Times New Roman" w:cs="Times New Roman"/>
          <w:sz w:val="24"/>
          <w:szCs w:val="24"/>
        </w:rPr>
        <w:t xml:space="preserve">. </w:t>
      </w:r>
      <w:r w:rsidR="00461CC1">
        <w:rPr>
          <w:rFonts w:ascii="Times New Roman" w:hAnsi="Times New Roman" w:cs="Times New Roman" w:hint="eastAsia"/>
          <w:sz w:val="24"/>
          <w:szCs w:val="24"/>
        </w:rPr>
        <w:t>Jianhu</w:t>
      </w:r>
      <w:r w:rsidR="00676A3B" w:rsidRPr="00E436FB">
        <w:rPr>
          <w:rFonts w:ascii="Times New Roman" w:hAnsi="Times New Roman" w:cs="Times New Roman"/>
          <w:sz w:val="24"/>
          <w:szCs w:val="24"/>
        </w:rPr>
        <w:t>@</w:t>
      </w:r>
      <w:r w:rsidR="00C12C3B" w:rsidRPr="00E436FB">
        <w:rPr>
          <w:rFonts w:ascii="Times New Roman" w:hAnsi="Times New Roman" w:cs="Times New Roman"/>
          <w:sz w:val="24"/>
          <w:szCs w:val="24"/>
        </w:rPr>
        <w:t>126</w:t>
      </w:r>
      <w:r w:rsidR="00676A3B" w:rsidRPr="00E436FB">
        <w:rPr>
          <w:rFonts w:ascii="Times New Roman" w:hAnsi="Times New Roman" w:cs="Times New Roman"/>
          <w:sz w:val="24"/>
          <w:szCs w:val="24"/>
        </w:rPr>
        <w:t>.com</w:t>
      </w:r>
    </w:p>
    <w:p w14:paraId="2E41E33E" w14:textId="76D105AB" w:rsidR="00E92B13" w:rsidRPr="00E436FB" w:rsidRDefault="00F35A71">
      <w:pPr>
        <w:rPr>
          <w:rFonts w:ascii="Arial" w:hAnsi="Arial" w:cs="Arial"/>
          <w:b/>
          <w:sz w:val="24"/>
          <w:szCs w:val="24"/>
        </w:rPr>
      </w:pPr>
      <w:r w:rsidRPr="00E436FB">
        <w:rPr>
          <w:rFonts w:ascii="Arial" w:hAnsi="Arial" w:cs="Arial"/>
          <w:b/>
          <w:sz w:val="24"/>
          <w:szCs w:val="24"/>
        </w:rPr>
        <w:t>RÉSUMÉ</w:t>
      </w:r>
    </w:p>
    <w:p w14:paraId="633C9E74" w14:textId="28AEFE19" w:rsidR="0021314E" w:rsidRPr="0021314E" w:rsidRDefault="0021314E" w:rsidP="0021314E">
      <w:pPr>
        <w:rPr>
          <w:rFonts w:ascii="Arial" w:hAnsi="Arial" w:cs="Arial"/>
          <w:sz w:val="20"/>
          <w:szCs w:val="20"/>
        </w:rPr>
      </w:pPr>
      <w:r w:rsidRPr="0021314E">
        <w:rPr>
          <w:rFonts w:ascii="Arial" w:hAnsi="Arial" w:cs="Arial"/>
          <w:sz w:val="20"/>
          <w:szCs w:val="20"/>
        </w:rPr>
        <w:t xml:space="preserve">Le </w:t>
      </w:r>
      <w:proofErr w:type="spellStart"/>
      <w:r w:rsidRPr="0021314E">
        <w:rPr>
          <w:rFonts w:ascii="Arial" w:hAnsi="Arial" w:cs="Arial"/>
          <w:sz w:val="20"/>
          <w:szCs w:val="20"/>
        </w:rPr>
        <w:t>projet</w:t>
      </w:r>
      <w:proofErr w:type="spellEnd"/>
      <w:r w:rsidRPr="0021314E">
        <w:rPr>
          <w:rFonts w:ascii="Arial" w:hAnsi="Arial" w:cs="Arial"/>
          <w:sz w:val="20"/>
          <w:szCs w:val="20"/>
        </w:rPr>
        <w:t xml:space="preserve"> </w:t>
      </w:r>
      <w:proofErr w:type="spellStart"/>
      <w:r w:rsidRPr="0021314E">
        <w:rPr>
          <w:rFonts w:ascii="Arial" w:hAnsi="Arial" w:cs="Arial"/>
          <w:sz w:val="20"/>
          <w:szCs w:val="20"/>
        </w:rPr>
        <w:t>pilote</w:t>
      </w:r>
      <w:proofErr w:type="spellEnd"/>
      <w:r w:rsidRPr="0021314E">
        <w:rPr>
          <w:rFonts w:ascii="Arial" w:hAnsi="Arial" w:cs="Arial"/>
          <w:sz w:val="20"/>
          <w:szCs w:val="20"/>
        </w:rPr>
        <w:t xml:space="preserve"> national « Ville-</w:t>
      </w:r>
      <w:proofErr w:type="spellStart"/>
      <w:r w:rsidRPr="0021314E">
        <w:rPr>
          <w:rFonts w:ascii="Arial" w:hAnsi="Arial" w:cs="Arial"/>
          <w:sz w:val="20"/>
          <w:szCs w:val="20"/>
        </w:rPr>
        <w:t>éponge</w:t>
      </w:r>
      <w:proofErr w:type="spellEnd"/>
      <w:r w:rsidRPr="0021314E">
        <w:rPr>
          <w:rFonts w:ascii="Arial" w:hAnsi="Arial" w:cs="Arial"/>
          <w:sz w:val="20"/>
          <w:szCs w:val="20"/>
        </w:rPr>
        <w:t xml:space="preserve"> » de Zhenjiang (2015–2025) </w:t>
      </w:r>
      <w:proofErr w:type="spellStart"/>
      <w:r w:rsidRPr="0021314E">
        <w:rPr>
          <w:rFonts w:ascii="Arial" w:hAnsi="Arial" w:cs="Arial"/>
          <w:sz w:val="20"/>
          <w:szCs w:val="20"/>
        </w:rPr>
        <w:t>constitue</w:t>
      </w:r>
      <w:proofErr w:type="spellEnd"/>
      <w:r w:rsidRPr="0021314E">
        <w:rPr>
          <w:rFonts w:ascii="Arial" w:hAnsi="Arial" w:cs="Arial"/>
          <w:sz w:val="20"/>
          <w:szCs w:val="20"/>
        </w:rPr>
        <w:t xml:space="preserve"> </w:t>
      </w:r>
      <w:proofErr w:type="spellStart"/>
      <w:r w:rsidRPr="0021314E">
        <w:rPr>
          <w:rFonts w:ascii="Arial" w:hAnsi="Arial" w:cs="Arial"/>
          <w:sz w:val="20"/>
          <w:szCs w:val="20"/>
        </w:rPr>
        <w:t>l’un</w:t>
      </w:r>
      <w:proofErr w:type="spellEnd"/>
      <w:r w:rsidRPr="0021314E">
        <w:rPr>
          <w:rFonts w:ascii="Arial" w:hAnsi="Arial" w:cs="Arial"/>
          <w:sz w:val="20"/>
          <w:szCs w:val="20"/>
        </w:rPr>
        <w:t xml:space="preserve"> des </w:t>
      </w:r>
      <w:proofErr w:type="spellStart"/>
      <w:r w:rsidRPr="0021314E">
        <w:rPr>
          <w:rFonts w:ascii="Arial" w:hAnsi="Arial" w:cs="Arial"/>
          <w:sz w:val="20"/>
          <w:szCs w:val="20"/>
        </w:rPr>
        <w:t>rares</w:t>
      </w:r>
      <w:proofErr w:type="spellEnd"/>
      <w:r w:rsidRPr="0021314E">
        <w:rPr>
          <w:rFonts w:ascii="Arial" w:hAnsi="Arial" w:cs="Arial"/>
          <w:sz w:val="20"/>
          <w:szCs w:val="20"/>
        </w:rPr>
        <w:t xml:space="preserve"> </w:t>
      </w:r>
      <w:proofErr w:type="spellStart"/>
      <w:r w:rsidRPr="0021314E">
        <w:rPr>
          <w:rFonts w:ascii="Arial" w:hAnsi="Arial" w:cs="Arial"/>
          <w:sz w:val="20"/>
          <w:szCs w:val="20"/>
        </w:rPr>
        <w:t>exemples</w:t>
      </w:r>
      <w:proofErr w:type="spellEnd"/>
      <w:r w:rsidRPr="0021314E">
        <w:rPr>
          <w:rFonts w:ascii="Arial" w:hAnsi="Arial" w:cs="Arial"/>
          <w:sz w:val="20"/>
          <w:szCs w:val="20"/>
        </w:rPr>
        <w:t xml:space="preserve"> au monde d’un </w:t>
      </w:r>
      <w:proofErr w:type="spellStart"/>
      <w:r w:rsidRPr="0021314E">
        <w:rPr>
          <w:rFonts w:ascii="Arial" w:hAnsi="Arial" w:cs="Arial"/>
          <w:sz w:val="20"/>
          <w:szCs w:val="20"/>
        </w:rPr>
        <w:t>système</w:t>
      </w:r>
      <w:proofErr w:type="spellEnd"/>
      <w:r w:rsidRPr="0021314E">
        <w:rPr>
          <w:rFonts w:ascii="Arial" w:hAnsi="Arial" w:cs="Arial"/>
          <w:sz w:val="20"/>
          <w:szCs w:val="20"/>
        </w:rPr>
        <w:t xml:space="preserve"> </w:t>
      </w:r>
      <w:proofErr w:type="spellStart"/>
      <w:r w:rsidRPr="0021314E">
        <w:rPr>
          <w:rFonts w:ascii="Arial" w:hAnsi="Arial" w:cs="Arial"/>
          <w:sz w:val="20"/>
          <w:szCs w:val="20"/>
        </w:rPr>
        <w:t>intégré</w:t>
      </w:r>
      <w:proofErr w:type="spellEnd"/>
      <w:r w:rsidRPr="0021314E">
        <w:rPr>
          <w:rFonts w:ascii="Arial" w:hAnsi="Arial" w:cs="Arial"/>
          <w:sz w:val="20"/>
          <w:szCs w:val="20"/>
        </w:rPr>
        <w:t xml:space="preserve"> vert-bleu-gris de gestion </w:t>
      </w:r>
      <w:proofErr w:type="spellStart"/>
      <w:r w:rsidRPr="0021314E">
        <w:rPr>
          <w:rFonts w:ascii="Arial" w:hAnsi="Arial" w:cs="Arial"/>
          <w:sz w:val="20"/>
          <w:szCs w:val="20"/>
        </w:rPr>
        <w:t>résiliente</w:t>
      </w:r>
      <w:proofErr w:type="spellEnd"/>
      <w:r w:rsidRPr="0021314E">
        <w:rPr>
          <w:rFonts w:ascii="Arial" w:hAnsi="Arial" w:cs="Arial"/>
          <w:sz w:val="20"/>
          <w:szCs w:val="20"/>
        </w:rPr>
        <w:t xml:space="preserve"> des eaux </w:t>
      </w:r>
      <w:proofErr w:type="spellStart"/>
      <w:r w:rsidRPr="0021314E">
        <w:rPr>
          <w:rFonts w:ascii="Arial" w:hAnsi="Arial" w:cs="Arial"/>
          <w:sz w:val="20"/>
          <w:szCs w:val="20"/>
        </w:rPr>
        <w:t>pluviales</w:t>
      </w:r>
      <w:proofErr w:type="spellEnd"/>
      <w:r w:rsidRPr="0021314E">
        <w:rPr>
          <w:rFonts w:ascii="Arial" w:hAnsi="Arial" w:cs="Arial"/>
          <w:sz w:val="20"/>
          <w:szCs w:val="20"/>
        </w:rPr>
        <w:t xml:space="preserve"> </w:t>
      </w:r>
      <w:proofErr w:type="spellStart"/>
      <w:r w:rsidRPr="0021314E">
        <w:rPr>
          <w:rFonts w:ascii="Arial" w:hAnsi="Arial" w:cs="Arial"/>
          <w:sz w:val="20"/>
          <w:szCs w:val="20"/>
        </w:rPr>
        <w:t>déployé</w:t>
      </w:r>
      <w:proofErr w:type="spellEnd"/>
      <w:r w:rsidRPr="0021314E">
        <w:rPr>
          <w:rFonts w:ascii="Arial" w:hAnsi="Arial" w:cs="Arial"/>
          <w:sz w:val="20"/>
          <w:szCs w:val="20"/>
        </w:rPr>
        <w:t xml:space="preserve"> à </w:t>
      </w:r>
      <w:proofErr w:type="spellStart"/>
      <w:r w:rsidRPr="0021314E">
        <w:rPr>
          <w:rFonts w:ascii="Arial" w:hAnsi="Arial" w:cs="Arial"/>
          <w:sz w:val="20"/>
          <w:szCs w:val="20"/>
        </w:rPr>
        <w:t>l’échelle</w:t>
      </w:r>
      <w:proofErr w:type="spellEnd"/>
      <w:r w:rsidRPr="0021314E">
        <w:rPr>
          <w:rFonts w:ascii="Arial" w:hAnsi="Arial" w:cs="Arial"/>
          <w:sz w:val="20"/>
          <w:szCs w:val="20"/>
        </w:rPr>
        <w:t xml:space="preserve"> d’un </w:t>
      </w:r>
      <w:proofErr w:type="spellStart"/>
      <w:r w:rsidRPr="0021314E">
        <w:rPr>
          <w:rFonts w:ascii="Arial" w:hAnsi="Arial" w:cs="Arial"/>
          <w:sz w:val="20"/>
          <w:szCs w:val="20"/>
        </w:rPr>
        <w:t>bassin</w:t>
      </w:r>
      <w:proofErr w:type="spellEnd"/>
      <w:r w:rsidRPr="0021314E">
        <w:rPr>
          <w:rFonts w:ascii="Arial" w:hAnsi="Arial" w:cs="Arial"/>
          <w:sz w:val="20"/>
          <w:szCs w:val="20"/>
        </w:rPr>
        <w:t xml:space="preserve"> versant </w:t>
      </w:r>
      <w:proofErr w:type="spellStart"/>
      <w:r w:rsidRPr="0021314E">
        <w:rPr>
          <w:rFonts w:ascii="Arial" w:hAnsi="Arial" w:cs="Arial"/>
          <w:sz w:val="20"/>
          <w:szCs w:val="20"/>
        </w:rPr>
        <w:t>urbain</w:t>
      </w:r>
      <w:proofErr w:type="spellEnd"/>
      <w:r w:rsidRPr="0021314E">
        <w:rPr>
          <w:rFonts w:ascii="Arial" w:hAnsi="Arial" w:cs="Arial"/>
          <w:sz w:val="20"/>
          <w:szCs w:val="20"/>
        </w:rPr>
        <w:t xml:space="preserve"> dense de 29,28 km². </w:t>
      </w:r>
      <w:proofErr w:type="spellStart"/>
      <w:r w:rsidRPr="0021314E">
        <w:rPr>
          <w:rFonts w:ascii="Arial" w:hAnsi="Arial" w:cs="Arial"/>
          <w:sz w:val="20"/>
          <w:szCs w:val="20"/>
        </w:rPr>
        <w:t>L’approche</w:t>
      </w:r>
      <w:proofErr w:type="spellEnd"/>
      <w:r w:rsidRPr="0021314E">
        <w:rPr>
          <w:rFonts w:ascii="Arial" w:hAnsi="Arial" w:cs="Arial"/>
          <w:sz w:val="20"/>
          <w:szCs w:val="20"/>
        </w:rPr>
        <w:t xml:space="preserve"> </w:t>
      </w:r>
      <w:proofErr w:type="spellStart"/>
      <w:r w:rsidRPr="0021314E">
        <w:rPr>
          <w:rFonts w:ascii="Arial" w:hAnsi="Arial" w:cs="Arial"/>
          <w:sz w:val="20"/>
          <w:szCs w:val="20"/>
        </w:rPr>
        <w:t>systémique</w:t>
      </w:r>
      <w:proofErr w:type="spellEnd"/>
      <w:r w:rsidRPr="0021314E">
        <w:rPr>
          <w:rFonts w:ascii="Arial" w:hAnsi="Arial" w:cs="Arial"/>
          <w:sz w:val="20"/>
          <w:szCs w:val="20"/>
        </w:rPr>
        <w:t xml:space="preserve"> mise </w:t>
      </w:r>
      <w:proofErr w:type="spellStart"/>
      <w:r w:rsidRPr="0021314E">
        <w:rPr>
          <w:rFonts w:ascii="Arial" w:hAnsi="Arial" w:cs="Arial"/>
          <w:sz w:val="20"/>
          <w:szCs w:val="20"/>
        </w:rPr>
        <w:t>en</w:t>
      </w:r>
      <w:proofErr w:type="spellEnd"/>
      <w:r w:rsidRPr="0021314E">
        <w:rPr>
          <w:rFonts w:ascii="Arial" w:hAnsi="Arial" w:cs="Arial"/>
          <w:sz w:val="20"/>
          <w:szCs w:val="20"/>
        </w:rPr>
        <w:t xml:space="preserve"> </w:t>
      </w:r>
      <w:proofErr w:type="spellStart"/>
      <w:r w:rsidRPr="0021314E">
        <w:rPr>
          <w:rFonts w:ascii="Arial" w:hAnsi="Arial" w:cs="Arial"/>
          <w:sz w:val="20"/>
          <w:szCs w:val="20"/>
        </w:rPr>
        <w:t>œuvre</w:t>
      </w:r>
      <w:proofErr w:type="spellEnd"/>
      <w:r w:rsidRPr="0021314E">
        <w:rPr>
          <w:rFonts w:ascii="Arial" w:hAnsi="Arial" w:cs="Arial"/>
          <w:sz w:val="20"/>
          <w:szCs w:val="20"/>
        </w:rPr>
        <w:t xml:space="preserve"> </w:t>
      </w:r>
      <w:proofErr w:type="spellStart"/>
      <w:r w:rsidRPr="0021314E">
        <w:rPr>
          <w:rFonts w:ascii="Arial" w:hAnsi="Arial" w:cs="Arial"/>
          <w:sz w:val="20"/>
          <w:szCs w:val="20"/>
        </w:rPr>
        <w:t>permet</w:t>
      </w:r>
      <w:proofErr w:type="spellEnd"/>
      <w:r w:rsidRPr="0021314E">
        <w:rPr>
          <w:rFonts w:ascii="Arial" w:hAnsi="Arial" w:cs="Arial"/>
          <w:sz w:val="20"/>
          <w:szCs w:val="20"/>
        </w:rPr>
        <w:t xml:space="preserve"> de </w:t>
      </w:r>
      <w:proofErr w:type="spellStart"/>
      <w:r w:rsidRPr="0021314E">
        <w:rPr>
          <w:rFonts w:ascii="Arial" w:hAnsi="Arial" w:cs="Arial"/>
          <w:sz w:val="20"/>
          <w:szCs w:val="20"/>
        </w:rPr>
        <w:t>maîtriser</w:t>
      </w:r>
      <w:proofErr w:type="spellEnd"/>
      <w:r w:rsidRPr="0021314E">
        <w:rPr>
          <w:rFonts w:ascii="Arial" w:hAnsi="Arial" w:cs="Arial"/>
          <w:sz w:val="20"/>
          <w:szCs w:val="20"/>
        </w:rPr>
        <w:t xml:space="preserve"> les </w:t>
      </w:r>
      <w:proofErr w:type="spellStart"/>
      <w:r w:rsidRPr="0021314E">
        <w:rPr>
          <w:rFonts w:ascii="Arial" w:hAnsi="Arial" w:cs="Arial"/>
          <w:sz w:val="20"/>
          <w:szCs w:val="20"/>
        </w:rPr>
        <w:t>pluies</w:t>
      </w:r>
      <w:proofErr w:type="spellEnd"/>
      <w:r w:rsidRPr="0021314E">
        <w:rPr>
          <w:rFonts w:ascii="Arial" w:hAnsi="Arial" w:cs="Arial"/>
          <w:sz w:val="20"/>
          <w:szCs w:val="20"/>
        </w:rPr>
        <w:t xml:space="preserve"> de </w:t>
      </w:r>
      <w:proofErr w:type="spellStart"/>
      <w:r w:rsidRPr="0021314E">
        <w:rPr>
          <w:rFonts w:ascii="Arial" w:hAnsi="Arial" w:cs="Arial"/>
          <w:sz w:val="20"/>
          <w:szCs w:val="20"/>
        </w:rPr>
        <w:t>période</w:t>
      </w:r>
      <w:proofErr w:type="spellEnd"/>
      <w:r w:rsidRPr="0021314E">
        <w:rPr>
          <w:rFonts w:ascii="Arial" w:hAnsi="Arial" w:cs="Arial"/>
          <w:sz w:val="20"/>
          <w:szCs w:val="20"/>
        </w:rPr>
        <w:t xml:space="preserve"> de retour 30 </w:t>
      </w:r>
      <w:proofErr w:type="spellStart"/>
      <w:r w:rsidRPr="0021314E">
        <w:rPr>
          <w:rFonts w:ascii="Arial" w:hAnsi="Arial" w:cs="Arial"/>
          <w:sz w:val="20"/>
          <w:szCs w:val="20"/>
        </w:rPr>
        <w:t>ans</w:t>
      </w:r>
      <w:proofErr w:type="spellEnd"/>
      <w:r w:rsidRPr="0021314E">
        <w:rPr>
          <w:rFonts w:ascii="Arial" w:hAnsi="Arial" w:cs="Arial"/>
          <w:sz w:val="20"/>
          <w:szCs w:val="20"/>
        </w:rPr>
        <w:t xml:space="preserve"> (256 mm/24 h), a </w:t>
      </w:r>
      <w:proofErr w:type="spellStart"/>
      <w:r w:rsidRPr="0021314E">
        <w:rPr>
          <w:rFonts w:ascii="Arial" w:hAnsi="Arial" w:cs="Arial"/>
          <w:sz w:val="20"/>
          <w:szCs w:val="20"/>
        </w:rPr>
        <w:t>totalement</w:t>
      </w:r>
      <w:proofErr w:type="spellEnd"/>
      <w:r w:rsidRPr="0021314E">
        <w:rPr>
          <w:rFonts w:ascii="Arial" w:hAnsi="Arial" w:cs="Arial"/>
          <w:sz w:val="20"/>
          <w:szCs w:val="20"/>
        </w:rPr>
        <w:t xml:space="preserve"> </w:t>
      </w:r>
      <w:proofErr w:type="spellStart"/>
      <w:r w:rsidRPr="0021314E">
        <w:rPr>
          <w:rFonts w:ascii="Arial" w:hAnsi="Arial" w:cs="Arial"/>
          <w:sz w:val="20"/>
          <w:szCs w:val="20"/>
        </w:rPr>
        <w:t>éliminé</w:t>
      </w:r>
      <w:proofErr w:type="spellEnd"/>
      <w:r w:rsidRPr="0021314E">
        <w:rPr>
          <w:rFonts w:ascii="Arial" w:hAnsi="Arial" w:cs="Arial"/>
          <w:sz w:val="20"/>
          <w:szCs w:val="20"/>
        </w:rPr>
        <w:t xml:space="preserve"> les </w:t>
      </w:r>
      <w:proofErr w:type="spellStart"/>
      <w:r w:rsidRPr="0021314E">
        <w:rPr>
          <w:rFonts w:ascii="Arial" w:hAnsi="Arial" w:cs="Arial"/>
          <w:sz w:val="20"/>
          <w:szCs w:val="20"/>
        </w:rPr>
        <w:t>inondations</w:t>
      </w:r>
      <w:proofErr w:type="spellEnd"/>
      <w:r w:rsidRPr="0021314E">
        <w:rPr>
          <w:rFonts w:ascii="Arial" w:hAnsi="Arial" w:cs="Arial"/>
          <w:sz w:val="20"/>
          <w:szCs w:val="20"/>
        </w:rPr>
        <w:t xml:space="preserve"> chroniques sur les 48 points noirs </w:t>
      </w:r>
      <w:proofErr w:type="spellStart"/>
      <w:r w:rsidRPr="0021314E">
        <w:rPr>
          <w:rFonts w:ascii="Arial" w:hAnsi="Arial" w:cs="Arial"/>
          <w:sz w:val="20"/>
          <w:szCs w:val="20"/>
        </w:rPr>
        <w:t>historiques</w:t>
      </w:r>
      <w:proofErr w:type="spellEnd"/>
      <w:r w:rsidRPr="0021314E">
        <w:rPr>
          <w:rFonts w:ascii="Arial" w:hAnsi="Arial" w:cs="Arial"/>
          <w:sz w:val="20"/>
          <w:szCs w:val="20"/>
        </w:rPr>
        <w:t xml:space="preserve"> et a </w:t>
      </w:r>
      <w:proofErr w:type="spellStart"/>
      <w:r w:rsidRPr="0021314E">
        <w:rPr>
          <w:rFonts w:ascii="Arial" w:hAnsi="Arial" w:cs="Arial"/>
          <w:sz w:val="20"/>
          <w:szCs w:val="20"/>
        </w:rPr>
        <w:t>restauré</w:t>
      </w:r>
      <w:proofErr w:type="spellEnd"/>
      <w:r w:rsidRPr="0021314E">
        <w:rPr>
          <w:rFonts w:ascii="Arial" w:hAnsi="Arial" w:cs="Arial"/>
          <w:sz w:val="20"/>
          <w:szCs w:val="20"/>
        </w:rPr>
        <w:t xml:space="preserve"> la </w:t>
      </w:r>
      <w:proofErr w:type="spellStart"/>
      <w:r w:rsidRPr="0021314E">
        <w:rPr>
          <w:rFonts w:ascii="Arial" w:hAnsi="Arial" w:cs="Arial"/>
          <w:sz w:val="20"/>
          <w:szCs w:val="20"/>
        </w:rPr>
        <w:t>qualité</w:t>
      </w:r>
      <w:proofErr w:type="spellEnd"/>
      <w:r w:rsidRPr="0021314E">
        <w:rPr>
          <w:rFonts w:ascii="Arial" w:hAnsi="Arial" w:cs="Arial"/>
          <w:sz w:val="20"/>
          <w:szCs w:val="20"/>
        </w:rPr>
        <w:t xml:space="preserve"> des eaux </w:t>
      </w:r>
      <w:proofErr w:type="spellStart"/>
      <w:r w:rsidRPr="0021314E">
        <w:rPr>
          <w:rFonts w:ascii="Arial" w:hAnsi="Arial" w:cs="Arial"/>
          <w:sz w:val="20"/>
          <w:szCs w:val="20"/>
        </w:rPr>
        <w:t>réceptrices</w:t>
      </w:r>
      <w:proofErr w:type="spellEnd"/>
      <w:r w:rsidRPr="0021314E">
        <w:rPr>
          <w:rFonts w:ascii="Arial" w:hAnsi="Arial" w:cs="Arial"/>
          <w:sz w:val="20"/>
          <w:szCs w:val="20"/>
        </w:rPr>
        <w:t xml:space="preserve"> </w:t>
      </w:r>
      <w:proofErr w:type="spellStart"/>
      <w:r w:rsidRPr="0021314E">
        <w:rPr>
          <w:rFonts w:ascii="Arial" w:hAnsi="Arial" w:cs="Arial"/>
          <w:sz w:val="20"/>
          <w:szCs w:val="20"/>
        </w:rPr>
        <w:t>jusqu’au</w:t>
      </w:r>
      <w:proofErr w:type="spellEnd"/>
      <w:r w:rsidRPr="0021314E">
        <w:rPr>
          <w:rFonts w:ascii="Arial" w:hAnsi="Arial" w:cs="Arial"/>
          <w:sz w:val="20"/>
          <w:szCs w:val="20"/>
        </w:rPr>
        <w:t xml:space="preserve"> standard chinois de </w:t>
      </w:r>
      <w:proofErr w:type="spellStart"/>
      <w:r w:rsidRPr="0021314E">
        <w:rPr>
          <w:rFonts w:ascii="Arial" w:hAnsi="Arial" w:cs="Arial"/>
          <w:sz w:val="20"/>
          <w:szCs w:val="20"/>
        </w:rPr>
        <w:t>classe</w:t>
      </w:r>
      <w:proofErr w:type="spellEnd"/>
      <w:r w:rsidRPr="0021314E">
        <w:rPr>
          <w:rFonts w:ascii="Arial" w:hAnsi="Arial" w:cs="Arial"/>
          <w:sz w:val="20"/>
          <w:szCs w:val="20"/>
        </w:rPr>
        <w:t xml:space="preserve"> III.</w:t>
      </w:r>
    </w:p>
    <w:p w14:paraId="2797AC06" w14:textId="77777777" w:rsidR="0021314E" w:rsidRPr="0021314E" w:rsidRDefault="0021314E" w:rsidP="0021314E">
      <w:pPr>
        <w:rPr>
          <w:rFonts w:ascii="Arial" w:hAnsi="Arial" w:cs="Arial"/>
          <w:sz w:val="20"/>
          <w:szCs w:val="20"/>
        </w:rPr>
      </w:pPr>
      <w:r w:rsidRPr="0021314E">
        <w:rPr>
          <w:rFonts w:ascii="Arial" w:hAnsi="Arial" w:cs="Arial"/>
          <w:sz w:val="20"/>
          <w:szCs w:val="20"/>
        </w:rPr>
        <w:t xml:space="preserve">La </w:t>
      </w:r>
      <w:proofErr w:type="spellStart"/>
      <w:r w:rsidRPr="0021314E">
        <w:rPr>
          <w:rFonts w:ascii="Arial" w:hAnsi="Arial" w:cs="Arial"/>
          <w:sz w:val="20"/>
          <w:szCs w:val="20"/>
        </w:rPr>
        <w:t>stratégie</w:t>
      </w:r>
      <w:proofErr w:type="spellEnd"/>
      <w:r w:rsidRPr="0021314E">
        <w:rPr>
          <w:rFonts w:ascii="Arial" w:hAnsi="Arial" w:cs="Arial"/>
          <w:sz w:val="20"/>
          <w:szCs w:val="20"/>
        </w:rPr>
        <w:t xml:space="preserve"> combine des principes de Développement à </w:t>
      </w:r>
      <w:proofErr w:type="spellStart"/>
      <w:r w:rsidRPr="0021314E">
        <w:rPr>
          <w:rFonts w:ascii="Arial" w:hAnsi="Arial" w:cs="Arial"/>
          <w:sz w:val="20"/>
          <w:szCs w:val="20"/>
        </w:rPr>
        <w:t>Faible</w:t>
      </w:r>
      <w:proofErr w:type="spellEnd"/>
      <w:r w:rsidRPr="0021314E">
        <w:rPr>
          <w:rFonts w:ascii="Arial" w:hAnsi="Arial" w:cs="Arial"/>
          <w:sz w:val="20"/>
          <w:szCs w:val="20"/>
        </w:rPr>
        <w:t xml:space="preserve"> Impact (LID) </w:t>
      </w:r>
      <w:proofErr w:type="spellStart"/>
      <w:r w:rsidRPr="0021314E">
        <w:rPr>
          <w:rFonts w:ascii="Arial" w:hAnsi="Arial" w:cs="Arial"/>
          <w:sz w:val="20"/>
          <w:szCs w:val="20"/>
        </w:rPr>
        <w:t>en</w:t>
      </w:r>
      <w:proofErr w:type="spellEnd"/>
      <w:r w:rsidRPr="0021314E">
        <w:rPr>
          <w:rFonts w:ascii="Arial" w:hAnsi="Arial" w:cs="Arial"/>
          <w:sz w:val="20"/>
          <w:szCs w:val="20"/>
        </w:rPr>
        <w:t xml:space="preserve"> source — </w:t>
      </w:r>
      <w:proofErr w:type="spellStart"/>
      <w:r w:rsidRPr="0021314E">
        <w:rPr>
          <w:rFonts w:ascii="Arial" w:hAnsi="Arial" w:cs="Arial"/>
          <w:sz w:val="20"/>
          <w:szCs w:val="20"/>
        </w:rPr>
        <w:t>visant</w:t>
      </w:r>
      <w:proofErr w:type="spellEnd"/>
      <w:r w:rsidRPr="0021314E">
        <w:rPr>
          <w:rFonts w:ascii="Arial" w:hAnsi="Arial" w:cs="Arial"/>
          <w:sz w:val="20"/>
          <w:szCs w:val="20"/>
        </w:rPr>
        <w:t xml:space="preserve"> à </w:t>
      </w:r>
      <w:proofErr w:type="spellStart"/>
      <w:r w:rsidRPr="0021314E">
        <w:rPr>
          <w:rFonts w:ascii="Arial" w:hAnsi="Arial" w:cs="Arial"/>
          <w:sz w:val="20"/>
          <w:szCs w:val="20"/>
        </w:rPr>
        <w:t>rapprocher</w:t>
      </w:r>
      <w:proofErr w:type="spellEnd"/>
      <w:r w:rsidRPr="0021314E">
        <w:rPr>
          <w:rFonts w:ascii="Arial" w:hAnsi="Arial" w:cs="Arial"/>
          <w:sz w:val="20"/>
          <w:szCs w:val="20"/>
        </w:rPr>
        <w:t xml:space="preserve"> </w:t>
      </w:r>
      <w:proofErr w:type="spellStart"/>
      <w:r w:rsidRPr="0021314E">
        <w:rPr>
          <w:rFonts w:ascii="Arial" w:hAnsi="Arial" w:cs="Arial"/>
          <w:sz w:val="20"/>
          <w:szCs w:val="20"/>
        </w:rPr>
        <w:t>l’hydrologie</w:t>
      </w:r>
      <w:proofErr w:type="spellEnd"/>
      <w:r w:rsidRPr="0021314E">
        <w:rPr>
          <w:rFonts w:ascii="Arial" w:hAnsi="Arial" w:cs="Arial"/>
          <w:sz w:val="20"/>
          <w:szCs w:val="20"/>
        </w:rPr>
        <w:t xml:space="preserve"> des sites </w:t>
      </w:r>
      <w:proofErr w:type="spellStart"/>
      <w:r w:rsidRPr="0021314E">
        <w:rPr>
          <w:rFonts w:ascii="Arial" w:hAnsi="Arial" w:cs="Arial"/>
          <w:sz w:val="20"/>
          <w:szCs w:val="20"/>
        </w:rPr>
        <w:t>aménagés</w:t>
      </w:r>
      <w:proofErr w:type="spellEnd"/>
      <w:r w:rsidRPr="0021314E">
        <w:rPr>
          <w:rFonts w:ascii="Arial" w:hAnsi="Arial" w:cs="Arial"/>
          <w:sz w:val="20"/>
          <w:szCs w:val="20"/>
        </w:rPr>
        <w:t xml:space="preserve"> de </w:t>
      </w:r>
      <w:proofErr w:type="spellStart"/>
      <w:r w:rsidRPr="0021314E">
        <w:rPr>
          <w:rFonts w:ascii="Arial" w:hAnsi="Arial" w:cs="Arial"/>
          <w:sz w:val="20"/>
          <w:szCs w:val="20"/>
        </w:rPr>
        <w:t>leur</w:t>
      </w:r>
      <w:proofErr w:type="spellEnd"/>
      <w:r w:rsidRPr="0021314E">
        <w:rPr>
          <w:rFonts w:ascii="Arial" w:hAnsi="Arial" w:cs="Arial"/>
          <w:sz w:val="20"/>
          <w:szCs w:val="20"/>
        </w:rPr>
        <w:t xml:space="preserve"> état </w:t>
      </w:r>
      <w:proofErr w:type="spellStart"/>
      <w:r w:rsidRPr="0021314E">
        <w:rPr>
          <w:rFonts w:ascii="Arial" w:hAnsi="Arial" w:cs="Arial"/>
          <w:sz w:val="20"/>
          <w:szCs w:val="20"/>
        </w:rPr>
        <w:t>pré-urbain</w:t>
      </w:r>
      <w:proofErr w:type="spellEnd"/>
      <w:r w:rsidRPr="0021314E">
        <w:rPr>
          <w:rFonts w:ascii="Arial" w:hAnsi="Arial" w:cs="Arial"/>
          <w:sz w:val="20"/>
          <w:szCs w:val="20"/>
        </w:rPr>
        <w:t xml:space="preserve"> — avec des </w:t>
      </w:r>
      <w:proofErr w:type="spellStart"/>
      <w:r w:rsidRPr="0021314E">
        <w:rPr>
          <w:rFonts w:ascii="Arial" w:hAnsi="Arial" w:cs="Arial"/>
          <w:sz w:val="20"/>
          <w:szCs w:val="20"/>
        </w:rPr>
        <w:t>ouvrages</w:t>
      </w:r>
      <w:proofErr w:type="spellEnd"/>
      <w:r w:rsidRPr="0021314E">
        <w:rPr>
          <w:rFonts w:ascii="Arial" w:hAnsi="Arial" w:cs="Arial"/>
          <w:sz w:val="20"/>
          <w:szCs w:val="20"/>
        </w:rPr>
        <w:t xml:space="preserve"> bleus de fin de </w:t>
      </w:r>
      <w:proofErr w:type="spellStart"/>
      <w:r w:rsidRPr="0021314E">
        <w:rPr>
          <w:rFonts w:ascii="Arial" w:hAnsi="Arial" w:cs="Arial"/>
          <w:sz w:val="20"/>
          <w:szCs w:val="20"/>
        </w:rPr>
        <w:t>parcours</w:t>
      </w:r>
      <w:proofErr w:type="spellEnd"/>
      <w:r w:rsidRPr="0021314E">
        <w:rPr>
          <w:rFonts w:ascii="Arial" w:hAnsi="Arial" w:cs="Arial"/>
          <w:sz w:val="20"/>
          <w:szCs w:val="20"/>
        </w:rPr>
        <w:t xml:space="preserve"> (zones </w:t>
      </w:r>
      <w:proofErr w:type="spellStart"/>
      <w:r w:rsidRPr="0021314E">
        <w:rPr>
          <w:rFonts w:ascii="Arial" w:hAnsi="Arial" w:cs="Arial"/>
          <w:sz w:val="20"/>
          <w:szCs w:val="20"/>
        </w:rPr>
        <w:t>humides</w:t>
      </w:r>
      <w:proofErr w:type="spellEnd"/>
      <w:r w:rsidRPr="0021314E">
        <w:rPr>
          <w:rFonts w:ascii="Arial" w:hAnsi="Arial" w:cs="Arial"/>
          <w:sz w:val="20"/>
          <w:szCs w:val="20"/>
        </w:rPr>
        <w:t xml:space="preserve"> à haute performance et parcs à double usage) qui </w:t>
      </w:r>
      <w:proofErr w:type="spellStart"/>
      <w:r w:rsidRPr="0021314E">
        <w:rPr>
          <w:rFonts w:ascii="Arial" w:hAnsi="Arial" w:cs="Arial"/>
          <w:sz w:val="20"/>
          <w:szCs w:val="20"/>
        </w:rPr>
        <w:t>assurent</w:t>
      </w:r>
      <w:proofErr w:type="spellEnd"/>
      <w:r w:rsidRPr="0021314E">
        <w:rPr>
          <w:rFonts w:ascii="Arial" w:hAnsi="Arial" w:cs="Arial"/>
          <w:sz w:val="20"/>
          <w:szCs w:val="20"/>
        </w:rPr>
        <w:t xml:space="preserve"> un stockage </w:t>
      </w:r>
      <w:proofErr w:type="spellStart"/>
      <w:r w:rsidRPr="0021314E">
        <w:rPr>
          <w:rFonts w:ascii="Arial" w:hAnsi="Arial" w:cs="Arial"/>
          <w:sz w:val="20"/>
          <w:szCs w:val="20"/>
        </w:rPr>
        <w:t>temporaire</w:t>
      </w:r>
      <w:proofErr w:type="spellEnd"/>
      <w:r w:rsidRPr="0021314E">
        <w:rPr>
          <w:rFonts w:ascii="Arial" w:hAnsi="Arial" w:cs="Arial"/>
          <w:sz w:val="20"/>
          <w:szCs w:val="20"/>
        </w:rPr>
        <w:t xml:space="preserve"> </w:t>
      </w:r>
      <w:proofErr w:type="spellStart"/>
      <w:r w:rsidRPr="0021314E">
        <w:rPr>
          <w:rFonts w:ascii="Arial" w:hAnsi="Arial" w:cs="Arial"/>
          <w:sz w:val="20"/>
          <w:szCs w:val="20"/>
        </w:rPr>
        <w:t>significatif</w:t>
      </w:r>
      <w:proofErr w:type="spellEnd"/>
      <w:r w:rsidRPr="0021314E">
        <w:rPr>
          <w:rFonts w:ascii="Arial" w:hAnsi="Arial" w:cs="Arial"/>
          <w:sz w:val="20"/>
          <w:szCs w:val="20"/>
        </w:rPr>
        <w:t xml:space="preserve"> des volumes </w:t>
      </w:r>
      <w:proofErr w:type="spellStart"/>
      <w:r w:rsidRPr="0021314E">
        <w:rPr>
          <w:rFonts w:ascii="Arial" w:hAnsi="Arial" w:cs="Arial"/>
          <w:sz w:val="20"/>
          <w:szCs w:val="20"/>
        </w:rPr>
        <w:t>excédant</w:t>
      </w:r>
      <w:proofErr w:type="spellEnd"/>
      <w:r w:rsidRPr="0021314E">
        <w:rPr>
          <w:rFonts w:ascii="Arial" w:hAnsi="Arial" w:cs="Arial"/>
          <w:sz w:val="20"/>
          <w:szCs w:val="20"/>
        </w:rPr>
        <w:t xml:space="preserve"> la </w:t>
      </w:r>
      <w:proofErr w:type="spellStart"/>
      <w:r w:rsidRPr="0021314E">
        <w:rPr>
          <w:rFonts w:ascii="Arial" w:hAnsi="Arial" w:cs="Arial"/>
          <w:sz w:val="20"/>
          <w:szCs w:val="20"/>
        </w:rPr>
        <w:t>capacité</w:t>
      </w:r>
      <w:proofErr w:type="spellEnd"/>
      <w:r w:rsidRPr="0021314E">
        <w:rPr>
          <w:rFonts w:ascii="Arial" w:hAnsi="Arial" w:cs="Arial"/>
          <w:sz w:val="20"/>
          <w:szCs w:val="20"/>
        </w:rPr>
        <w:t xml:space="preserve"> de </w:t>
      </w:r>
      <w:proofErr w:type="spellStart"/>
      <w:r w:rsidRPr="0021314E">
        <w:rPr>
          <w:rFonts w:ascii="Arial" w:hAnsi="Arial" w:cs="Arial"/>
          <w:sz w:val="20"/>
          <w:szCs w:val="20"/>
        </w:rPr>
        <w:t>dimensionnement</w:t>
      </w:r>
      <w:proofErr w:type="spellEnd"/>
      <w:r w:rsidRPr="0021314E">
        <w:rPr>
          <w:rFonts w:ascii="Arial" w:hAnsi="Arial" w:cs="Arial"/>
          <w:sz w:val="20"/>
          <w:szCs w:val="20"/>
        </w:rPr>
        <w:t xml:space="preserve"> 30 ans. </w:t>
      </w:r>
      <w:proofErr w:type="spellStart"/>
      <w:r w:rsidRPr="0021314E">
        <w:rPr>
          <w:rFonts w:ascii="Arial" w:hAnsi="Arial" w:cs="Arial"/>
          <w:sz w:val="20"/>
          <w:szCs w:val="20"/>
        </w:rPr>
        <w:t>L’épine</w:t>
      </w:r>
      <w:proofErr w:type="spellEnd"/>
      <w:r w:rsidRPr="0021314E">
        <w:rPr>
          <w:rFonts w:ascii="Arial" w:hAnsi="Arial" w:cs="Arial"/>
          <w:sz w:val="20"/>
          <w:szCs w:val="20"/>
        </w:rPr>
        <w:t xml:space="preserve"> </w:t>
      </w:r>
      <w:proofErr w:type="spellStart"/>
      <w:r w:rsidRPr="0021314E">
        <w:rPr>
          <w:rFonts w:ascii="Arial" w:hAnsi="Arial" w:cs="Arial"/>
          <w:sz w:val="20"/>
          <w:szCs w:val="20"/>
        </w:rPr>
        <w:t>dorsale</w:t>
      </w:r>
      <w:proofErr w:type="spellEnd"/>
      <w:r w:rsidRPr="0021314E">
        <w:rPr>
          <w:rFonts w:ascii="Arial" w:hAnsi="Arial" w:cs="Arial"/>
          <w:sz w:val="20"/>
          <w:szCs w:val="20"/>
        </w:rPr>
        <w:t xml:space="preserve"> grise est </w:t>
      </w:r>
      <w:proofErr w:type="spellStart"/>
      <w:r w:rsidRPr="0021314E">
        <w:rPr>
          <w:rFonts w:ascii="Arial" w:hAnsi="Arial" w:cs="Arial"/>
          <w:sz w:val="20"/>
          <w:szCs w:val="20"/>
        </w:rPr>
        <w:t>constituée</w:t>
      </w:r>
      <w:proofErr w:type="spellEnd"/>
      <w:r w:rsidRPr="0021314E">
        <w:rPr>
          <w:rFonts w:ascii="Arial" w:hAnsi="Arial" w:cs="Arial"/>
          <w:sz w:val="20"/>
          <w:szCs w:val="20"/>
        </w:rPr>
        <w:t xml:space="preserve"> d’un tunnel </w:t>
      </w:r>
      <w:proofErr w:type="spellStart"/>
      <w:r w:rsidRPr="0021314E">
        <w:rPr>
          <w:rFonts w:ascii="Arial" w:hAnsi="Arial" w:cs="Arial"/>
          <w:sz w:val="20"/>
          <w:szCs w:val="20"/>
        </w:rPr>
        <w:t>profond</w:t>
      </w:r>
      <w:proofErr w:type="spellEnd"/>
      <w:r w:rsidRPr="0021314E">
        <w:rPr>
          <w:rFonts w:ascii="Arial" w:hAnsi="Arial" w:cs="Arial"/>
          <w:sz w:val="20"/>
          <w:szCs w:val="20"/>
        </w:rPr>
        <w:t xml:space="preserve"> de 6,2 km et de 4 m de </w:t>
      </w:r>
      <w:proofErr w:type="spellStart"/>
      <w:r w:rsidRPr="0021314E">
        <w:rPr>
          <w:rFonts w:ascii="Arial" w:hAnsi="Arial" w:cs="Arial"/>
          <w:sz w:val="20"/>
          <w:szCs w:val="20"/>
        </w:rPr>
        <w:t>diamètre</w:t>
      </w:r>
      <w:proofErr w:type="spellEnd"/>
      <w:r w:rsidRPr="0021314E">
        <w:rPr>
          <w:rFonts w:ascii="Arial" w:hAnsi="Arial" w:cs="Arial"/>
          <w:sz w:val="20"/>
          <w:szCs w:val="20"/>
        </w:rPr>
        <w:t xml:space="preserve">, </w:t>
      </w:r>
      <w:proofErr w:type="spellStart"/>
      <w:r w:rsidRPr="0021314E">
        <w:rPr>
          <w:rFonts w:ascii="Arial" w:hAnsi="Arial" w:cs="Arial"/>
          <w:sz w:val="20"/>
          <w:szCs w:val="20"/>
        </w:rPr>
        <w:t>enterré</w:t>
      </w:r>
      <w:proofErr w:type="spellEnd"/>
      <w:r w:rsidRPr="0021314E">
        <w:rPr>
          <w:rFonts w:ascii="Arial" w:hAnsi="Arial" w:cs="Arial"/>
          <w:sz w:val="20"/>
          <w:szCs w:val="20"/>
        </w:rPr>
        <w:t xml:space="preserve"> </w:t>
      </w:r>
      <w:proofErr w:type="spellStart"/>
      <w:r w:rsidRPr="0021314E">
        <w:rPr>
          <w:rFonts w:ascii="Arial" w:hAnsi="Arial" w:cs="Arial"/>
          <w:sz w:val="20"/>
          <w:szCs w:val="20"/>
        </w:rPr>
        <w:t>jusqu’à</w:t>
      </w:r>
      <w:proofErr w:type="spellEnd"/>
      <w:r w:rsidRPr="0021314E">
        <w:rPr>
          <w:rFonts w:ascii="Arial" w:hAnsi="Arial" w:cs="Arial"/>
          <w:sz w:val="20"/>
          <w:szCs w:val="20"/>
        </w:rPr>
        <w:t xml:space="preserve"> 34 </w:t>
      </w:r>
      <w:proofErr w:type="spellStart"/>
      <w:r w:rsidRPr="0021314E">
        <w:rPr>
          <w:rFonts w:ascii="Arial" w:hAnsi="Arial" w:cs="Arial"/>
          <w:sz w:val="20"/>
          <w:szCs w:val="20"/>
        </w:rPr>
        <w:t>m et</w:t>
      </w:r>
      <w:proofErr w:type="spellEnd"/>
      <w:r w:rsidRPr="0021314E">
        <w:rPr>
          <w:rFonts w:ascii="Arial" w:hAnsi="Arial" w:cs="Arial"/>
          <w:sz w:val="20"/>
          <w:szCs w:val="20"/>
        </w:rPr>
        <w:t xml:space="preserve"> </w:t>
      </w:r>
      <w:proofErr w:type="spellStart"/>
      <w:r w:rsidRPr="0021314E">
        <w:rPr>
          <w:rFonts w:ascii="Arial" w:hAnsi="Arial" w:cs="Arial"/>
          <w:sz w:val="20"/>
          <w:szCs w:val="20"/>
        </w:rPr>
        <w:t>traversant</w:t>
      </w:r>
      <w:proofErr w:type="spellEnd"/>
      <w:r w:rsidRPr="0021314E">
        <w:rPr>
          <w:rFonts w:ascii="Arial" w:hAnsi="Arial" w:cs="Arial"/>
          <w:sz w:val="20"/>
          <w:szCs w:val="20"/>
        </w:rPr>
        <w:t xml:space="preserve"> de manière unique le </w:t>
      </w:r>
      <w:proofErr w:type="spellStart"/>
      <w:r w:rsidRPr="0021314E">
        <w:rPr>
          <w:rFonts w:ascii="Arial" w:hAnsi="Arial" w:cs="Arial"/>
          <w:sz w:val="20"/>
          <w:szCs w:val="20"/>
        </w:rPr>
        <w:t>fleuve</w:t>
      </w:r>
      <w:proofErr w:type="spellEnd"/>
      <w:r w:rsidRPr="0021314E">
        <w:rPr>
          <w:rFonts w:ascii="Arial" w:hAnsi="Arial" w:cs="Arial"/>
          <w:sz w:val="20"/>
          <w:szCs w:val="20"/>
        </w:rPr>
        <w:t xml:space="preserve"> Yangtze, </w:t>
      </w:r>
      <w:proofErr w:type="spellStart"/>
      <w:r w:rsidRPr="0021314E">
        <w:rPr>
          <w:rFonts w:ascii="Arial" w:hAnsi="Arial" w:cs="Arial"/>
          <w:sz w:val="20"/>
          <w:szCs w:val="20"/>
        </w:rPr>
        <w:t>afin</w:t>
      </w:r>
      <w:proofErr w:type="spellEnd"/>
      <w:r w:rsidRPr="0021314E">
        <w:rPr>
          <w:rFonts w:ascii="Arial" w:hAnsi="Arial" w:cs="Arial"/>
          <w:sz w:val="20"/>
          <w:szCs w:val="20"/>
        </w:rPr>
        <w:t xml:space="preserve"> de </w:t>
      </w:r>
      <w:proofErr w:type="spellStart"/>
      <w:r w:rsidRPr="0021314E">
        <w:rPr>
          <w:rFonts w:ascii="Arial" w:hAnsi="Arial" w:cs="Arial"/>
          <w:sz w:val="20"/>
          <w:szCs w:val="20"/>
        </w:rPr>
        <w:t>collecter</w:t>
      </w:r>
      <w:proofErr w:type="spellEnd"/>
      <w:r w:rsidRPr="0021314E">
        <w:rPr>
          <w:rFonts w:ascii="Arial" w:hAnsi="Arial" w:cs="Arial"/>
          <w:sz w:val="20"/>
          <w:szCs w:val="20"/>
        </w:rPr>
        <w:t xml:space="preserve"> les </w:t>
      </w:r>
      <w:proofErr w:type="spellStart"/>
      <w:r w:rsidRPr="0021314E">
        <w:rPr>
          <w:rFonts w:ascii="Arial" w:hAnsi="Arial" w:cs="Arial"/>
          <w:sz w:val="20"/>
          <w:szCs w:val="20"/>
        </w:rPr>
        <w:t>ruissellements</w:t>
      </w:r>
      <w:proofErr w:type="spellEnd"/>
      <w:r w:rsidRPr="0021314E">
        <w:rPr>
          <w:rFonts w:ascii="Arial" w:hAnsi="Arial" w:cs="Arial"/>
          <w:sz w:val="20"/>
          <w:szCs w:val="20"/>
        </w:rPr>
        <w:t xml:space="preserve"> </w:t>
      </w:r>
      <w:proofErr w:type="spellStart"/>
      <w:r w:rsidRPr="0021314E">
        <w:rPr>
          <w:rFonts w:ascii="Arial" w:hAnsi="Arial" w:cs="Arial"/>
          <w:sz w:val="20"/>
          <w:szCs w:val="20"/>
        </w:rPr>
        <w:t>amont</w:t>
      </w:r>
      <w:proofErr w:type="spellEnd"/>
      <w:r w:rsidRPr="0021314E">
        <w:rPr>
          <w:rFonts w:ascii="Arial" w:hAnsi="Arial" w:cs="Arial"/>
          <w:sz w:val="20"/>
          <w:szCs w:val="20"/>
        </w:rPr>
        <w:t xml:space="preserve">, des quartiers </w:t>
      </w:r>
      <w:proofErr w:type="spellStart"/>
      <w:r w:rsidRPr="0021314E">
        <w:rPr>
          <w:rFonts w:ascii="Arial" w:hAnsi="Arial" w:cs="Arial"/>
          <w:sz w:val="20"/>
          <w:szCs w:val="20"/>
        </w:rPr>
        <w:t>historiques</w:t>
      </w:r>
      <w:proofErr w:type="spellEnd"/>
      <w:r w:rsidRPr="0021314E">
        <w:rPr>
          <w:rFonts w:ascii="Arial" w:hAnsi="Arial" w:cs="Arial"/>
          <w:sz w:val="20"/>
          <w:szCs w:val="20"/>
        </w:rPr>
        <w:t xml:space="preserve"> et les </w:t>
      </w:r>
      <w:proofErr w:type="spellStart"/>
      <w:r w:rsidRPr="0021314E">
        <w:rPr>
          <w:rFonts w:ascii="Arial" w:hAnsi="Arial" w:cs="Arial"/>
          <w:sz w:val="20"/>
          <w:szCs w:val="20"/>
        </w:rPr>
        <w:t>débordements</w:t>
      </w:r>
      <w:proofErr w:type="spellEnd"/>
      <w:r w:rsidRPr="0021314E">
        <w:rPr>
          <w:rFonts w:ascii="Arial" w:hAnsi="Arial" w:cs="Arial"/>
          <w:sz w:val="20"/>
          <w:szCs w:val="20"/>
        </w:rPr>
        <w:t xml:space="preserve"> </w:t>
      </w:r>
      <w:proofErr w:type="spellStart"/>
      <w:r w:rsidRPr="0021314E">
        <w:rPr>
          <w:rFonts w:ascii="Arial" w:hAnsi="Arial" w:cs="Arial"/>
          <w:sz w:val="20"/>
          <w:szCs w:val="20"/>
        </w:rPr>
        <w:t>d’égouts</w:t>
      </w:r>
      <w:proofErr w:type="spellEnd"/>
      <w:r w:rsidRPr="0021314E">
        <w:rPr>
          <w:rFonts w:ascii="Arial" w:hAnsi="Arial" w:cs="Arial"/>
          <w:sz w:val="20"/>
          <w:szCs w:val="20"/>
        </w:rPr>
        <w:t xml:space="preserve"> </w:t>
      </w:r>
      <w:proofErr w:type="spellStart"/>
      <w:r w:rsidRPr="0021314E">
        <w:rPr>
          <w:rFonts w:ascii="Arial" w:hAnsi="Arial" w:cs="Arial"/>
          <w:sz w:val="20"/>
          <w:szCs w:val="20"/>
        </w:rPr>
        <w:t>unitaires</w:t>
      </w:r>
      <w:proofErr w:type="spellEnd"/>
      <w:r w:rsidRPr="0021314E">
        <w:rPr>
          <w:rFonts w:ascii="Arial" w:hAnsi="Arial" w:cs="Arial"/>
          <w:sz w:val="20"/>
          <w:szCs w:val="20"/>
        </w:rPr>
        <w:t xml:space="preserve"> (CSO) pour les </w:t>
      </w:r>
      <w:proofErr w:type="spellStart"/>
      <w:r w:rsidRPr="0021314E">
        <w:rPr>
          <w:rFonts w:ascii="Arial" w:hAnsi="Arial" w:cs="Arial"/>
          <w:sz w:val="20"/>
          <w:szCs w:val="20"/>
        </w:rPr>
        <w:t>diriger</w:t>
      </w:r>
      <w:proofErr w:type="spellEnd"/>
      <w:r w:rsidRPr="0021314E">
        <w:rPr>
          <w:rFonts w:ascii="Arial" w:hAnsi="Arial" w:cs="Arial"/>
          <w:sz w:val="20"/>
          <w:szCs w:val="20"/>
        </w:rPr>
        <w:t xml:space="preserve"> vers des </w:t>
      </w:r>
      <w:proofErr w:type="spellStart"/>
      <w:r w:rsidRPr="0021314E">
        <w:rPr>
          <w:rFonts w:ascii="Arial" w:hAnsi="Arial" w:cs="Arial"/>
          <w:sz w:val="20"/>
          <w:szCs w:val="20"/>
        </w:rPr>
        <w:t>bassins</w:t>
      </w:r>
      <w:proofErr w:type="spellEnd"/>
      <w:r w:rsidRPr="0021314E">
        <w:rPr>
          <w:rFonts w:ascii="Arial" w:hAnsi="Arial" w:cs="Arial"/>
          <w:sz w:val="20"/>
          <w:szCs w:val="20"/>
        </w:rPr>
        <w:t xml:space="preserve"> </w:t>
      </w:r>
      <w:proofErr w:type="spellStart"/>
      <w:r w:rsidRPr="0021314E">
        <w:rPr>
          <w:rFonts w:ascii="Arial" w:hAnsi="Arial" w:cs="Arial"/>
          <w:sz w:val="20"/>
          <w:szCs w:val="20"/>
        </w:rPr>
        <w:t>d’oxydation</w:t>
      </w:r>
      <w:proofErr w:type="spellEnd"/>
      <w:r w:rsidRPr="0021314E">
        <w:rPr>
          <w:rFonts w:ascii="Arial" w:hAnsi="Arial" w:cs="Arial"/>
          <w:sz w:val="20"/>
          <w:szCs w:val="20"/>
        </w:rPr>
        <w:t xml:space="preserve"> </w:t>
      </w:r>
      <w:proofErr w:type="spellStart"/>
      <w:r w:rsidRPr="0021314E">
        <w:rPr>
          <w:rFonts w:ascii="Arial" w:hAnsi="Arial" w:cs="Arial"/>
          <w:sz w:val="20"/>
          <w:szCs w:val="20"/>
        </w:rPr>
        <w:t>écologiques</w:t>
      </w:r>
      <w:proofErr w:type="spellEnd"/>
      <w:r w:rsidRPr="0021314E">
        <w:rPr>
          <w:rFonts w:ascii="Arial" w:hAnsi="Arial" w:cs="Arial"/>
          <w:sz w:val="20"/>
          <w:szCs w:val="20"/>
        </w:rPr>
        <w:t xml:space="preserve"> </w:t>
      </w:r>
      <w:proofErr w:type="spellStart"/>
      <w:r w:rsidRPr="0021314E">
        <w:rPr>
          <w:rFonts w:ascii="Arial" w:hAnsi="Arial" w:cs="Arial"/>
          <w:sz w:val="20"/>
          <w:szCs w:val="20"/>
        </w:rPr>
        <w:t>terminaux</w:t>
      </w:r>
      <w:proofErr w:type="spellEnd"/>
      <w:r w:rsidRPr="0021314E">
        <w:rPr>
          <w:rFonts w:ascii="Arial" w:hAnsi="Arial" w:cs="Arial"/>
          <w:sz w:val="20"/>
          <w:szCs w:val="20"/>
        </w:rPr>
        <w:t xml:space="preserve"> </w:t>
      </w:r>
      <w:proofErr w:type="spellStart"/>
      <w:r w:rsidRPr="0021314E">
        <w:rPr>
          <w:rFonts w:ascii="Arial" w:hAnsi="Arial" w:cs="Arial"/>
          <w:sz w:val="20"/>
          <w:szCs w:val="20"/>
        </w:rPr>
        <w:t>situés</w:t>
      </w:r>
      <w:proofErr w:type="spellEnd"/>
      <w:r w:rsidRPr="0021314E">
        <w:rPr>
          <w:rFonts w:ascii="Arial" w:hAnsi="Arial" w:cs="Arial"/>
          <w:sz w:val="20"/>
          <w:szCs w:val="20"/>
        </w:rPr>
        <w:t xml:space="preserve"> sur </w:t>
      </w:r>
      <w:proofErr w:type="spellStart"/>
      <w:r w:rsidRPr="0021314E">
        <w:rPr>
          <w:rFonts w:ascii="Arial" w:hAnsi="Arial" w:cs="Arial"/>
          <w:sz w:val="20"/>
          <w:szCs w:val="20"/>
        </w:rPr>
        <w:t>une</w:t>
      </w:r>
      <w:proofErr w:type="spellEnd"/>
      <w:r w:rsidRPr="0021314E">
        <w:rPr>
          <w:rFonts w:ascii="Arial" w:hAnsi="Arial" w:cs="Arial"/>
          <w:sz w:val="20"/>
          <w:szCs w:val="20"/>
        </w:rPr>
        <w:t xml:space="preserve"> </w:t>
      </w:r>
      <w:proofErr w:type="spellStart"/>
      <w:r w:rsidRPr="0021314E">
        <w:rPr>
          <w:rFonts w:ascii="Arial" w:hAnsi="Arial" w:cs="Arial"/>
          <w:sz w:val="20"/>
          <w:szCs w:val="20"/>
        </w:rPr>
        <w:t>île</w:t>
      </w:r>
      <w:proofErr w:type="spellEnd"/>
      <w:r w:rsidRPr="0021314E">
        <w:rPr>
          <w:rFonts w:ascii="Arial" w:hAnsi="Arial" w:cs="Arial"/>
          <w:sz w:val="20"/>
          <w:szCs w:val="20"/>
        </w:rPr>
        <w:t xml:space="preserve"> du </w:t>
      </w:r>
      <w:proofErr w:type="spellStart"/>
      <w:r w:rsidRPr="0021314E">
        <w:rPr>
          <w:rFonts w:ascii="Arial" w:hAnsi="Arial" w:cs="Arial"/>
          <w:sz w:val="20"/>
          <w:szCs w:val="20"/>
        </w:rPr>
        <w:t>fleuve</w:t>
      </w:r>
      <w:proofErr w:type="spellEnd"/>
      <w:r w:rsidRPr="0021314E">
        <w:rPr>
          <w:rFonts w:ascii="Arial" w:hAnsi="Arial" w:cs="Arial"/>
          <w:sz w:val="20"/>
          <w:szCs w:val="20"/>
        </w:rPr>
        <w:t>.</w:t>
      </w:r>
    </w:p>
    <w:p w14:paraId="00AF1A88" w14:textId="77777777" w:rsidR="0021314E" w:rsidRPr="0021314E" w:rsidRDefault="0021314E" w:rsidP="0021314E">
      <w:pPr>
        <w:rPr>
          <w:rFonts w:ascii="Arial" w:hAnsi="Arial" w:cs="Arial"/>
          <w:sz w:val="20"/>
          <w:szCs w:val="20"/>
        </w:rPr>
      </w:pPr>
      <w:r w:rsidRPr="0021314E">
        <w:rPr>
          <w:rFonts w:ascii="Arial" w:hAnsi="Arial" w:cs="Arial"/>
          <w:sz w:val="20"/>
          <w:szCs w:val="20"/>
        </w:rPr>
        <w:t xml:space="preserve">Dix </w:t>
      </w:r>
      <w:proofErr w:type="spellStart"/>
      <w:r w:rsidRPr="0021314E">
        <w:rPr>
          <w:rFonts w:ascii="Arial" w:hAnsi="Arial" w:cs="Arial"/>
          <w:sz w:val="20"/>
          <w:szCs w:val="20"/>
        </w:rPr>
        <w:t>années</w:t>
      </w:r>
      <w:proofErr w:type="spellEnd"/>
      <w:r w:rsidRPr="0021314E">
        <w:rPr>
          <w:rFonts w:ascii="Arial" w:hAnsi="Arial" w:cs="Arial"/>
          <w:sz w:val="20"/>
          <w:szCs w:val="20"/>
        </w:rPr>
        <w:t xml:space="preserve"> de </w:t>
      </w:r>
      <w:proofErr w:type="spellStart"/>
      <w:r w:rsidRPr="0021314E">
        <w:rPr>
          <w:rFonts w:ascii="Arial" w:hAnsi="Arial" w:cs="Arial"/>
          <w:sz w:val="20"/>
          <w:szCs w:val="20"/>
        </w:rPr>
        <w:t>suivi</w:t>
      </w:r>
      <w:proofErr w:type="spellEnd"/>
      <w:r w:rsidRPr="0021314E">
        <w:rPr>
          <w:rFonts w:ascii="Arial" w:hAnsi="Arial" w:cs="Arial"/>
          <w:sz w:val="20"/>
          <w:szCs w:val="20"/>
        </w:rPr>
        <w:t xml:space="preserve"> </w:t>
      </w:r>
      <w:proofErr w:type="spellStart"/>
      <w:r w:rsidRPr="0021314E">
        <w:rPr>
          <w:rFonts w:ascii="Arial" w:hAnsi="Arial" w:cs="Arial"/>
          <w:sz w:val="20"/>
          <w:szCs w:val="20"/>
        </w:rPr>
        <w:t>continu</w:t>
      </w:r>
      <w:proofErr w:type="spellEnd"/>
      <w:r w:rsidRPr="0021314E">
        <w:rPr>
          <w:rFonts w:ascii="Arial" w:hAnsi="Arial" w:cs="Arial"/>
          <w:sz w:val="20"/>
          <w:szCs w:val="20"/>
        </w:rPr>
        <w:t xml:space="preserve"> (40 stations </w:t>
      </w:r>
      <w:proofErr w:type="spellStart"/>
      <w:r w:rsidRPr="0021314E">
        <w:rPr>
          <w:rFonts w:ascii="Arial" w:hAnsi="Arial" w:cs="Arial"/>
          <w:sz w:val="20"/>
          <w:szCs w:val="20"/>
        </w:rPr>
        <w:t>automatisées</w:t>
      </w:r>
      <w:proofErr w:type="spellEnd"/>
      <w:r w:rsidRPr="0021314E">
        <w:rPr>
          <w:rFonts w:ascii="Arial" w:hAnsi="Arial" w:cs="Arial"/>
          <w:sz w:val="20"/>
          <w:szCs w:val="20"/>
        </w:rPr>
        <w:t xml:space="preserve">) </w:t>
      </w:r>
      <w:proofErr w:type="spellStart"/>
      <w:r w:rsidRPr="0021314E">
        <w:rPr>
          <w:rFonts w:ascii="Arial" w:hAnsi="Arial" w:cs="Arial"/>
          <w:sz w:val="20"/>
          <w:szCs w:val="20"/>
        </w:rPr>
        <w:t>confirment</w:t>
      </w:r>
      <w:proofErr w:type="spellEnd"/>
      <w:r w:rsidRPr="0021314E">
        <w:rPr>
          <w:rFonts w:ascii="Arial" w:hAnsi="Arial" w:cs="Arial"/>
          <w:sz w:val="20"/>
          <w:szCs w:val="20"/>
        </w:rPr>
        <w:t xml:space="preserve"> des performances </w:t>
      </w:r>
      <w:proofErr w:type="spellStart"/>
      <w:r w:rsidRPr="0021314E">
        <w:rPr>
          <w:rFonts w:ascii="Arial" w:hAnsi="Arial" w:cs="Arial"/>
          <w:sz w:val="20"/>
          <w:szCs w:val="20"/>
        </w:rPr>
        <w:t>exceptionnelles</w:t>
      </w:r>
      <w:proofErr w:type="spellEnd"/>
      <w:r w:rsidRPr="0021314E">
        <w:rPr>
          <w:rFonts w:ascii="Arial" w:hAnsi="Arial" w:cs="Arial"/>
          <w:sz w:val="20"/>
          <w:szCs w:val="20"/>
        </w:rPr>
        <w:t xml:space="preserve"> </w:t>
      </w:r>
      <w:proofErr w:type="spellStart"/>
      <w:r w:rsidRPr="0021314E">
        <w:rPr>
          <w:rFonts w:ascii="Arial" w:hAnsi="Arial" w:cs="Arial"/>
          <w:sz w:val="20"/>
          <w:szCs w:val="20"/>
        </w:rPr>
        <w:t>en</w:t>
      </w:r>
      <w:proofErr w:type="spellEnd"/>
      <w:r w:rsidRPr="0021314E">
        <w:rPr>
          <w:rFonts w:ascii="Arial" w:hAnsi="Arial" w:cs="Arial"/>
          <w:sz w:val="20"/>
          <w:szCs w:val="20"/>
        </w:rPr>
        <w:t xml:space="preserve"> conditions </w:t>
      </w:r>
      <w:proofErr w:type="spellStart"/>
      <w:proofErr w:type="gramStart"/>
      <w:r w:rsidRPr="0021314E">
        <w:rPr>
          <w:rFonts w:ascii="Arial" w:hAnsi="Arial" w:cs="Arial"/>
          <w:sz w:val="20"/>
          <w:szCs w:val="20"/>
        </w:rPr>
        <w:t>réelles</w:t>
      </w:r>
      <w:proofErr w:type="spellEnd"/>
      <w:r w:rsidRPr="0021314E">
        <w:rPr>
          <w:rFonts w:ascii="Arial" w:hAnsi="Arial" w:cs="Arial"/>
          <w:sz w:val="20"/>
          <w:szCs w:val="20"/>
        </w:rPr>
        <w:t xml:space="preserve"> :</w:t>
      </w:r>
      <w:proofErr w:type="gramEnd"/>
      <w:r w:rsidRPr="0021314E">
        <w:rPr>
          <w:rFonts w:ascii="Arial" w:hAnsi="Arial" w:cs="Arial"/>
          <w:sz w:val="20"/>
          <w:szCs w:val="20"/>
        </w:rPr>
        <w:t xml:space="preserve"> </w:t>
      </w:r>
      <w:proofErr w:type="spellStart"/>
      <w:r w:rsidRPr="0021314E">
        <w:rPr>
          <w:rFonts w:ascii="Arial" w:hAnsi="Arial" w:cs="Arial"/>
          <w:sz w:val="20"/>
          <w:szCs w:val="20"/>
        </w:rPr>
        <w:t>aucun</w:t>
      </w:r>
      <w:proofErr w:type="spellEnd"/>
      <w:r w:rsidRPr="0021314E">
        <w:rPr>
          <w:rFonts w:ascii="Arial" w:hAnsi="Arial" w:cs="Arial"/>
          <w:sz w:val="20"/>
          <w:szCs w:val="20"/>
        </w:rPr>
        <w:t xml:space="preserve"> engorgement dans les 48 </w:t>
      </w:r>
      <w:proofErr w:type="spellStart"/>
      <w:r w:rsidRPr="0021314E">
        <w:rPr>
          <w:rFonts w:ascii="Arial" w:hAnsi="Arial" w:cs="Arial"/>
          <w:sz w:val="20"/>
          <w:szCs w:val="20"/>
        </w:rPr>
        <w:t>anciens</w:t>
      </w:r>
      <w:proofErr w:type="spellEnd"/>
      <w:r w:rsidRPr="0021314E">
        <w:rPr>
          <w:rFonts w:ascii="Arial" w:hAnsi="Arial" w:cs="Arial"/>
          <w:sz w:val="20"/>
          <w:szCs w:val="20"/>
        </w:rPr>
        <w:t xml:space="preserve"> points noirs sur des </w:t>
      </w:r>
      <w:proofErr w:type="spellStart"/>
      <w:r w:rsidRPr="0021314E">
        <w:rPr>
          <w:rFonts w:ascii="Arial" w:hAnsi="Arial" w:cs="Arial"/>
          <w:sz w:val="20"/>
          <w:szCs w:val="20"/>
        </w:rPr>
        <w:t>centaines</w:t>
      </w:r>
      <w:proofErr w:type="spellEnd"/>
      <w:r w:rsidRPr="0021314E">
        <w:rPr>
          <w:rFonts w:ascii="Arial" w:hAnsi="Arial" w:cs="Arial"/>
          <w:sz w:val="20"/>
          <w:szCs w:val="20"/>
        </w:rPr>
        <w:t xml:space="preserve"> </w:t>
      </w:r>
      <w:proofErr w:type="spellStart"/>
      <w:r w:rsidRPr="0021314E">
        <w:rPr>
          <w:rFonts w:ascii="Arial" w:hAnsi="Arial" w:cs="Arial"/>
          <w:sz w:val="20"/>
          <w:szCs w:val="20"/>
        </w:rPr>
        <w:t>d’épisodes</w:t>
      </w:r>
      <w:proofErr w:type="spellEnd"/>
      <w:r w:rsidRPr="0021314E">
        <w:rPr>
          <w:rFonts w:ascii="Arial" w:hAnsi="Arial" w:cs="Arial"/>
          <w:sz w:val="20"/>
          <w:szCs w:val="20"/>
        </w:rPr>
        <w:t xml:space="preserve"> </w:t>
      </w:r>
      <w:proofErr w:type="spellStart"/>
      <w:r w:rsidRPr="0021314E">
        <w:rPr>
          <w:rFonts w:ascii="Arial" w:hAnsi="Arial" w:cs="Arial"/>
          <w:sz w:val="20"/>
          <w:szCs w:val="20"/>
        </w:rPr>
        <w:t>pluvieux</w:t>
      </w:r>
      <w:proofErr w:type="spellEnd"/>
      <w:r w:rsidRPr="0021314E">
        <w:rPr>
          <w:rFonts w:ascii="Arial" w:hAnsi="Arial" w:cs="Arial"/>
          <w:sz w:val="20"/>
          <w:szCs w:val="20"/>
        </w:rPr>
        <w:t xml:space="preserve">, </w:t>
      </w:r>
      <w:proofErr w:type="spellStart"/>
      <w:r w:rsidRPr="0021314E">
        <w:rPr>
          <w:rFonts w:ascii="Arial" w:hAnsi="Arial" w:cs="Arial"/>
          <w:sz w:val="20"/>
          <w:szCs w:val="20"/>
        </w:rPr>
        <w:t>rétention</w:t>
      </w:r>
      <w:proofErr w:type="spellEnd"/>
      <w:r w:rsidRPr="0021314E">
        <w:rPr>
          <w:rFonts w:ascii="Arial" w:hAnsi="Arial" w:cs="Arial"/>
          <w:sz w:val="20"/>
          <w:szCs w:val="20"/>
        </w:rPr>
        <w:t xml:space="preserve"> sur site &gt;99 %, </w:t>
      </w:r>
      <w:proofErr w:type="spellStart"/>
      <w:r w:rsidRPr="0021314E">
        <w:rPr>
          <w:rFonts w:ascii="Arial" w:hAnsi="Arial" w:cs="Arial"/>
          <w:sz w:val="20"/>
          <w:szCs w:val="20"/>
        </w:rPr>
        <w:t>contrôle</w:t>
      </w:r>
      <w:proofErr w:type="spellEnd"/>
      <w:r w:rsidRPr="0021314E">
        <w:rPr>
          <w:rFonts w:ascii="Arial" w:hAnsi="Arial" w:cs="Arial"/>
          <w:sz w:val="20"/>
          <w:szCs w:val="20"/>
        </w:rPr>
        <w:t xml:space="preserve"> </w:t>
      </w:r>
      <w:proofErr w:type="spellStart"/>
      <w:r w:rsidRPr="0021314E">
        <w:rPr>
          <w:rFonts w:ascii="Arial" w:hAnsi="Arial" w:cs="Arial"/>
          <w:sz w:val="20"/>
          <w:szCs w:val="20"/>
        </w:rPr>
        <w:t>annuel</w:t>
      </w:r>
      <w:proofErr w:type="spellEnd"/>
      <w:r w:rsidRPr="0021314E">
        <w:rPr>
          <w:rFonts w:ascii="Arial" w:hAnsi="Arial" w:cs="Arial"/>
          <w:sz w:val="20"/>
          <w:szCs w:val="20"/>
        </w:rPr>
        <w:t xml:space="preserve"> du </w:t>
      </w:r>
      <w:proofErr w:type="spellStart"/>
      <w:r w:rsidRPr="0021314E">
        <w:rPr>
          <w:rFonts w:ascii="Arial" w:hAnsi="Arial" w:cs="Arial"/>
          <w:sz w:val="20"/>
          <w:szCs w:val="20"/>
        </w:rPr>
        <w:t>ruissellement</w:t>
      </w:r>
      <w:proofErr w:type="spellEnd"/>
      <w:r w:rsidRPr="0021314E">
        <w:rPr>
          <w:rFonts w:ascii="Arial" w:hAnsi="Arial" w:cs="Arial"/>
          <w:sz w:val="20"/>
          <w:szCs w:val="20"/>
        </w:rPr>
        <w:t xml:space="preserve"> ≥76 %. Le </w:t>
      </w:r>
      <w:proofErr w:type="spellStart"/>
      <w:r w:rsidRPr="0021314E">
        <w:rPr>
          <w:rFonts w:ascii="Arial" w:hAnsi="Arial" w:cs="Arial"/>
          <w:sz w:val="20"/>
          <w:szCs w:val="20"/>
        </w:rPr>
        <w:t>système</w:t>
      </w:r>
      <w:proofErr w:type="spellEnd"/>
      <w:r w:rsidRPr="0021314E">
        <w:rPr>
          <w:rFonts w:ascii="Arial" w:hAnsi="Arial" w:cs="Arial"/>
          <w:sz w:val="20"/>
          <w:szCs w:val="20"/>
        </w:rPr>
        <w:t xml:space="preserve"> a </w:t>
      </w:r>
      <w:proofErr w:type="spellStart"/>
      <w:r w:rsidRPr="0021314E">
        <w:rPr>
          <w:rFonts w:ascii="Arial" w:hAnsi="Arial" w:cs="Arial"/>
          <w:sz w:val="20"/>
          <w:szCs w:val="20"/>
        </w:rPr>
        <w:t>notamment</w:t>
      </w:r>
      <w:proofErr w:type="spellEnd"/>
      <w:r w:rsidRPr="0021314E">
        <w:rPr>
          <w:rFonts w:ascii="Arial" w:hAnsi="Arial" w:cs="Arial"/>
          <w:sz w:val="20"/>
          <w:szCs w:val="20"/>
        </w:rPr>
        <w:t xml:space="preserve"> </w:t>
      </w:r>
      <w:proofErr w:type="spellStart"/>
      <w:r w:rsidRPr="0021314E">
        <w:rPr>
          <w:rFonts w:ascii="Arial" w:hAnsi="Arial" w:cs="Arial"/>
          <w:sz w:val="20"/>
          <w:szCs w:val="20"/>
        </w:rPr>
        <w:t>résisté</w:t>
      </w:r>
      <w:proofErr w:type="spellEnd"/>
      <w:r w:rsidRPr="0021314E">
        <w:rPr>
          <w:rFonts w:ascii="Arial" w:hAnsi="Arial" w:cs="Arial"/>
          <w:sz w:val="20"/>
          <w:szCs w:val="20"/>
        </w:rPr>
        <w:t xml:space="preserve"> sans </w:t>
      </w:r>
      <w:proofErr w:type="spellStart"/>
      <w:r w:rsidRPr="0021314E">
        <w:rPr>
          <w:rFonts w:ascii="Arial" w:hAnsi="Arial" w:cs="Arial"/>
          <w:sz w:val="20"/>
          <w:szCs w:val="20"/>
        </w:rPr>
        <w:t>aucun</w:t>
      </w:r>
      <w:proofErr w:type="spellEnd"/>
      <w:r w:rsidRPr="0021314E">
        <w:rPr>
          <w:rFonts w:ascii="Arial" w:hAnsi="Arial" w:cs="Arial"/>
          <w:sz w:val="20"/>
          <w:szCs w:val="20"/>
        </w:rPr>
        <w:t xml:space="preserve"> </w:t>
      </w:r>
      <w:proofErr w:type="spellStart"/>
      <w:r w:rsidRPr="0021314E">
        <w:rPr>
          <w:rFonts w:ascii="Arial" w:hAnsi="Arial" w:cs="Arial"/>
          <w:sz w:val="20"/>
          <w:szCs w:val="20"/>
        </w:rPr>
        <w:t>dégât</w:t>
      </w:r>
      <w:proofErr w:type="spellEnd"/>
      <w:r w:rsidRPr="0021314E">
        <w:rPr>
          <w:rFonts w:ascii="Arial" w:hAnsi="Arial" w:cs="Arial"/>
          <w:sz w:val="20"/>
          <w:szCs w:val="20"/>
        </w:rPr>
        <w:t xml:space="preserve"> à </w:t>
      </w:r>
      <w:proofErr w:type="spellStart"/>
      <w:r w:rsidRPr="0021314E">
        <w:rPr>
          <w:rFonts w:ascii="Arial" w:hAnsi="Arial" w:cs="Arial"/>
          <w:sz w:val="20"/>
          <w:szCs w:val="20"/>
        </w:rPr>
        <w:t>l’ouragan</w:t>
      </w:r>
      <w:proofErr w:type="spellEnd"/>
      <w:r w:rsidRPr="0021314E">
        <w:rPr>
          <w:rFonts w:ascii="Arial" w:hAnsi="Arial" w:cs="Arial"/>
          <w:sz w:val="20"/>
          <w:szCs w:val="20"/>
        </w:rPr>
        <w:t xml:space="preserve"> In-Fa 2021 (312 mm </w:t>
      </w:r>
      <w:proofErr w:type="spellStart"/>
      <w:r w:rsidRPr="0021314E">
        <w:rPr>
          <w:rFonts w:ascii="Arial" w:hAnsi="Arial" w:cs="Arial"/>
          <w:sz w:val="20"/>
          <w:szCs w:val="20"/>
        </w:rPr>
        <w:t>en</w:t>
      </w:r>
      <w:proofErr w:type="spellEnd"/>
      <w:r w:rsidRPr="0021314E">
        <w:rPr>
          <w:rFonts w:ascii="Arial" w:hAnsi="Arial" w:cs="Arial"/>
          <w:sz w:val="20"/>
          <w:szCs w:val="20"/>
        </w:rPr>
        <w:t xml:space="preserve"> 72 h, </w:t>
      </w:r>
      <w:proofErr w:type="spellStart"/>
      <w:r w:rsidRPr="0021314E">
        <w:rPr>
          <w:rFonts w:ascii="Arial" w:hAnsi="Arial" w:cs="Arial"/>
          <w:sz w:val="20"/>
          <w:szCs w:val="20"/>
        </w:rPr>
        <w:t>période</w:t>
      </w:r>
      <w:proofErr w:type="spellEnd"/>
      <w:r w:rsidRPr="0021314E">
        <w:rPr>
          <w:rFonts w:ascii="Arial" w:hAnsi="Arial" w:cs="Arial"/>
          <w:sz w:val="20"/>
          <w:szCs w:val="20"/>
        </w:rPr>
        <w:t xml:space="preserve"> de retour &gt;50 </w:t>
      </w:r>
      <w:proofErr w:type="spellStart"/>
      <w:r w:rsidRPr="0021314E">
        <w:rPr>
          <w:rFonts w:ascii="Arial" w:hAnsi="Arial" w:cs="Arial"/>
          <w:sz w:val="20"/>
          <w:szCs w:val="20"/>
        </w:rPr>
        <w:t>ans</w:t>
      </w:r>
      <w:proofErr w:type="spellEnd"/>
      <w:r w:rsidRPr="0021314E">
        <w:rPr>
          <w:rFonts w:ascii="Arial" w:hAnsi="Arial" w:cs="Arial"/>
          <w:sz w:val="20"/>
          <w:szCs w:val="20"/>
        </w:rPr>
        <w:t xml:space="preserve">). Zhenjiang </w:t>
      </w:r>
      <w:proofErr w:type="spellStart"/>
      <w:r w:rsidRPr="0021314E">
        <w:rPr>
          <w:rFonts w:ascii="Arial" w:hAnsi="Arial" w:cs="Arial"/>
          <w:sz w:val="20"/>
          <w:szCs w:val="20"/>
        </w:rPr>
        <w:t>offre</w:t>
      </w:r>
      <w:proofErr w:type="spellEnd"/>
      <w:r w:rsidRPr="0021314E">
        <w:rPr>
          <w:rFonts w:ascii="Arial" w:hAnsi="Arial" w:cs="Arial"/>
          <w:sz w:val="20"/>
          <w:szCs w:val="20"/>
        </w:rPr>
        <w:t xml:space="preserve"> </w:t>
      </w:r>
      <w:proofErr w:type="spellStart"/>
      <w:r w:rsidRPr="0021314E">
        <w:rPr>
          <w:rFonts w:ascii="Arial" w:hAnsi="Arial" w:cs="Arial"/>
          <w:sz w:val="20"/>
          <w:szCs w:val="20"/>
        </w:rPr>
        <w:t>ainsi</w:t>
      </w:r>
      <w:proofErr w:type="spellEnd"/>
      <w:r w:rsidRPr="0021314E">
        <w:rPr>
          <w:rFonts w:ascii="Arial" w:hAnsi="Arial" w:cs="Arial"/>
          <w:sz w:val="20"/>
          <w:szCs w:val="20"/>
        </w:rPr>
        <w:t xml:space="preserve"> un </w:t>
      </w:r>
      <w:proofErr w:type="spellStart"/>
      <w:r w:rsidRPr="0021314E">
        <w:rPr>
          <w:rFonts w:ascii="Arial" w:hAnsi="Arial" w:cs="Arial"/>
          <w:sz w:val="20"/>
          <w:szCs w:val="20"/>
        </w:rPr>
        <w:t>modèle</w:t>
      </w:r>
      <w:proofErr w:type="spellEnd"/>
      <w:r w:rsidRPr="0021314E">
        <w:rPr>
          <w:rFonts w:ascii="Arial" w:hAnsi="Arial" w:cs="Arial"/>
          <w:sz w:val="20"/>
          <w:szCs w:val="20"/>
        </w:rPr>
        <w:t xml:space="preserve"> </w:t>
      </w:r>
      <w:proofErr w:type="spellStart"/>
      <w:r w:rsidRPr="0021314E">
        <w:rPr>
          <w:rFonts w:ascii="Arial" w:hAnsi="Arial" w:cs="Arial"/>
          <w:sz w:val="20"/>
          <w:szCs w:val="20"/>
        </w:rPr>
        <w:t>rigoureusement</w:t>
      </w:r>
      <w:proofErr w:type="spellEnd"/>
      <w:r w:rsidRPr="0021314E">
        <w:rPr>
          <w:rFonts w:ascii="Arial" w:hAnsi="Arial" w:cs="Arial"/>
          <w:sz w:val="20"/>
          <w:szCs w:val="20"/>
        </w:rPr>
        <w:t xml:space="preserve"> </w:t>
      </w:r>
      <w:proofErr w:type="spellStart"/>
      <w:r w:rsidRPr="0021314E">
        <w:rPr>
          <w:rFonts w:ascii="Arial" w:hAnsi="Arial" w:cs="Arial"/>
          <w:sz w:val="20"/>
          <w:szCs w:val="20"/>
        </w:rPr>
        <w:t>validé</w:t>
      </w:r>
      <w:proofErr w:type="spellEnd"/>
      <w:r w:rsidRPr="0021314E">
        <w:rPr>
          <w:rFonts w:ascii="Arial" w:hAnsi="Arial" w:cs="Arial"/>
          <w:sz w:val="20"/>
          <w:szCs w:val="20"/>
        </w:rPr>
        <w:t xml:space="preserve">, </w:t>
      </w:r>
      <w:proofErr w:type="spellStart"/>
      <w:r w:rsidRPr="0021314E">
        <w:rPr>
          <w:rFonts w:ascii="Arial" w:hAnsi="Arial" w:cs="Arial"/>
          <w:sz w:val="20"/>
          <w:szCs w:val="20"/>
        </w:rPr>
        <w:t>directement</w:t>
      </w:r>
      <w:proofErr w:type="spellEnd"/>
      <w:r w:rsidRPr="0021314E">
        <w:rPr>
          <w:rFonts w:ascii="Arial" w:hAnsi="Arial" w:cs="Arial"/>
          <w:sz w:val="20"/>
          <w:szCs w:val="20"/>
        </w:rPr>
        <w:t xml:space="preserve"> </w:t>
      </w:r>
      <w:proofErr w:type="spellStart"/>
      <w:r w:rsidRPr="0021314E">
        <w:rPr>
          <w:rFonts w:ascii="Arial" w:hAnsi="Arial" w:cs="Arial"/>
          <w:sz w:val="20"/>
          <w:szCs w:val="20"/>
        </w:rPr>
        <w:t>transférable</w:t>
      </w:r>
      <w:proofErr w:type="spellEnd"/>
      <w:r w:rsidRPr="0021314E">
        <w:rPr>
          <w:rFonts w:ascii="Arial" w:hAnsi="Arial" w:cs="Arial"/>
          <w:sz w:val="20"/>
          <w:szCs w:val="20"/>
        </w:rPr>
        <w:t xml:space="preserve">, </w:t>
      </w:r>
      <w:proofErr w:type="spellStart"/>
      <w:r w:rsidRPr="0021314E">
        <w:rPr>
          <w:rFonts w:ascii="Arial" w:hAnsi="Arial" w:cs="Arial"/>
          <w:sz w:val="20"/>
          <w:szCs w:val="20"/>
        </w:rPr>
        <w:t>d’infrastructure</w:t>
      </w:r>
      <w:proofErr w:type="spellEnd"/>
      <w:r w:rsidRPr="0021314E">
        <w:rPr>
          <w:rFonts w:ascii="Arial" w:hAnsi="Arial" w:cs="Arial"/>
          <w:sz w:val="20"/>
          <w:szCs w:val="20"/>
        </w:rPr>
        <w:t xml:space="preserve"> </w:t>
      </w:r>
      <w:proofErr w:type="spellStart"/>
      <w:r w:rsidRPr="0021314E">
        <w:rPr>
          <w:rFonts w:ascii="Arial" w:hAnsi="Arial" w:cs="Arial"/>
          <w:sz w:val="20"/>
          <w:szCs w:val="20"/>
        </w:rPr>
        <w:t>hybride</w:t>
      </w:r>
      <w:proofErr w:type="spellEnd"/>
      <w:r w:rsidRPr="0021314E">
        <w:rPr>
          <w:rFonts w:ascii="Arial" w:hAnsi="Arial" w:cs="Arial"/>
          <w:sz w:val="20"/>
          <w:szCs w:val="20"/>
        </w:rPr>
        <w:t xml:space="preserve"> pour les villes </w:t>
      </w:r>
      <w:proofErr w:type="spellStart"/>
      <w:r w:rsidRPr="0021314E">
        <w:rPr>
          <w:rFonts w:ascii="Arial" w:hAnsi="Arial" w:cs="Arial"/>
          <w:sz w:val="20"/>
          <w:szCs w:val="20"/>
        </w:rPr>
        <w:t>denses</w:t>
      </w:r>
      <w:proofErr w:type="spellEnd"/>
      <w:r w:rsidRPr="0021314E">
        <w:rPr>
          <w:rFonts w:ascii="Arial" w:hAnsi="Arial" w:cs="Arial"/>
          <w:sz w:val="20"/>
          <w:szCs w:val="20"/>
        </w:rPr>
        <w:t xml:space="preserve"> </w:t>
      </w:r>
      <w:proofErr w:type="spellStart"/>
      <w:r w:rsidRPr="0021314E">
        <w:rPr>
          <w:rFonts w:ascii="Arial" w:hAnsi="Arial" w:cs="Arial"/>
          <w:sz w:val="20"/>
          <w:szCs w:val="20"/>
        </w:rPr>
        <w:t>confrontées</w:t>
      </w:r>
      <w:proofErr w:type="spellEnd"/>
      <w:r w:rsidRPr="0021314E">
        <w:rPr>
          <w:rFonts w:ascii="Arial" w:hAnsi="Arial" w:cs="Arial"/>
          <w:sz w:val="20"/>
          <w:szCs w:val="20"/>
        </w:rPr>
        <w:t xml:space="preserve"> à </w:t>
      </w:r>
      <w:proofErr w:type="spellStart"/>
      <w:r w:rsidRPr="0021314E">
        <w:rPr>
          <w:rFonts w:ascii="Arial" w:hAnsi="Arial" w:cs="Arial"/>
          <w:sz w:val="20"/>
          <w:szCs w:val="20"/>
        </w:rPr>
        <w:t>l’intensification</w:t>
      </w:r>
      <w:proofErr w:type="spellEnd"/>
      <w:r w:rsidRPr="0021314E">
        <w:rPr>
          <w:rFonts w:ascii="Arial" w:hAnsi="Arial" w:cs="Arial"/>
          <w:sz w:val="20"/>
          <w:szCs w:val="20"/>
        </w:rPr>
        <w:t xml:space="preserve"> des </w:t>
      </w:r>
      <w:proofErr w:type="spellStart"/>
      <w:r w:rsidRPr="0021314E">
        <w:rPr>
          <w:rFonts w:ascii="Arial" w:hAnsi="Arial" w:cs="Arial"/>
          <w:sz w:val="20"/>
          <w:szCs w:val="20"/>
        </w:rPr>
        <w:t>risques</w:t>
      </w:r>
      <w:proofErr w:type="spellEnd"/>
      <w:r w:rsidRPr="0021314E">
        <w:rPr>
          <w:rFonts w:ascii="Arial" w:hAnsi="Arial" w:cs="Arial"/>
          <w:sz w:val="20"/>
          <w:szCs w:val="20"/>
        </w:rPr>
        <w:t xml:space="preserve"> </w:t>
      </w:r>
      <w:proofErr w:type="spellStart"/>
      <w:r w:rsidRPr="0021314E">
        <w:rPr>
          <w:rFonts w:ascii="Arial" w:hAnsi="Arial" w:cs="Arial"/>
          <w:sz w:val="20"/>
          <w:szCs w:val="20"/>
        </w:rPr>
        <w:t>pluviaux</w:t>
      </w:r>
      <w:proofErr w:type="spellEnd"/>
      <w:r w:rsidRPr="0021314E">
        <w:rPr>
          <w:rFonts w:ascii="Arial" w:hAnsi="Arial" w:cs="Arial"/>
          <w:sz w:val="20"/>
          <w:szCs w:val="20"/>
        </w:rPr>
        <w:t xml:space="preserve"> </w:t>
      </w:r>
      <w:proofErr w:type="spellStart"/>
      <w:r w:rsidRPr="0021314E">
        <w:rPr>
          <w:rFonts w:ascii="Arial" w:hAnsi="Arial" w:cs="Arial"/>
          <w:sz w:val="20"/>
          <w:szCs w:val="20"/>
        </w:rPr>
        <w:t>liés</w:t>
      </w:r>
      <w:proofErr w:type="spellEnd"/>
      <w:r w:rsidRPr="0021314E">
        <w:rPr>
          <w:rFonts w:ascii="Arial" w:hAnsi="Arial" w:cs="Arial"/>
          <w:sz w:val="20"/>
          <w:szCs w:val="20"/>
        </w:rPr>
        <w:t xml:space="preserve"> au </w:t>
      </w:r>
      <w:proofErr w:type="spellStart"/>
      <w:r w:rsidRPr="0021314E">
        <w:rPr>
          <w:rFonts w:ascii="Arial" w:hAnsi="Arial" w:cs="Arial"/>
          <w:sz w:val="20"/>
          <w:szCs w:val="20"/>
        </w:rPr>
        <w:t>changement</w:t>
      </w:r>
      <w:proofErr w:type="spellEnd"/>
      <w:r w:rsidRPr="0021314E">
        <w:rPr>
          <w:rFonts w:ascii="Arial" w:hAnsi="Arial" w:cs="Arial"/>
          <w:sz w:val="20"/>
          <w:szCs w:val="20"/>
        </w:rPr>
        <w:t xml:space="preserve"> </w:t>
      </w:r>
      <w:proofErr w:type="spellStart"/>
      <w:r w:rsidRPr="0021314E">
        <w:rPr>
          <w:rFonts w:ascii="Arial" w:hAnsi="Arial" w:cs="Arial"/>
          <w:sz w:val="20"/>
          <w:szCs w:val="20"/>
        </w:rPr>
        <w:t>climatique</w:t>
      </w:r>
      <w:proofErr w:type="spellEnd"/>
      <w:r w:rsidRPr="0021314E">
        <w:rPr>
          <w:rFonts w:ascii="Arial" w:hAnsi="Arial" w:cs="Arial"/>
          <w:sz w:val="20"/>
          <w:szCs w:val="20"/>
        </w:rPr>
        <w:t>.</w:t>
      </w:r>
    </w:p>
    <w:p w14:paraId="5899774C" w14:textId="77777777" w:rsidR="0021314E" w:rsidRPr="0021314E" w:rsidRDefault="0021314E" w:rsidP="0021314E">
      <w:pPr>
        <w:rPr>
          <w:rFonts w:ascii="Arial" w:hAnsi="Arial" w:cs="Arial"/>
          <w:sz w:val="20"/>
          <w:szCs w:val="20"/>
        </w:rPr>
      </w:pPr>
      <w:r w:rsidRPr="0021314E">
        <w:rPr>
          <w:rFonts w:ascii="Arial" w:hAnsi="Arial" w:cs="Arial"/>
          <w:b/>
          <w:bCs/>
          <w:sz w:val="20"/>
          <w:szCs w:val="20"/>
        </w:rPr>
        <w:t>Mots-</w:t>
      </w:r>
      <w:proofErr w:type="spellStart"/>
      <w:proofErr w:type="gramStart"/>
      <w:r w:rsidRPr="0021314E">
        <w:rPr>
          <w:rFonts w:ascii="Arial" w:hAnsi="Arial" w:cs="Arial"/>
          <w:b/>
          <w:bCs/>
          <w:sz w:val="20"/>
          <w:szCs w:val="20"/>
        </w:rPr>
        <w:t>clés</w:t>
      </w:r>
      <w:proofErr w:type="spellEnd"/>
      <w:r w:rsidRPr="0021314E">
        <w:rPr>
          <w:rFonts w:ascii="Arial" w:hAnsi="Arial" w:cs="Arial"/>
          <w:sz w:val="20"/>
          <w:szCs w:val="20"/>
        </w:rPr>
        <w:t xml:space="preserve"> :</w:t>
      </w:r>
      <w:proofErr w:type="gramEnd"/>
      <w:r w:rsidRPr="0021314E">
        <w:rPr>
          <w:rFonts w:ascii="Arial" w:hAnsi="Arial" w:cs="Arial"/>
          <w:sz w:val="20"/>
          <w:szCs w:val="20"/>
        </w:rPr>
        <w:t xml:space="preserve"> </w:t>
      </w:r>
      <w:proofErr w:type="spellStart"/>
      <w:r w:rsidRPr="0021314E">
        <w:rPr>
          <w:rFonts w:ascii="Arial" w:hAnsi="Arial" w:cs="Arial"/>
          <w:sz w:val="20"/>
          <w:szCs w:val="20"/>
        </w:rPr>
        <w:t>Réduction</w:t>
      </w:r>
      <w:proofErr w:type="spellEnd"/>
      <w:r w:rsidRPr="0021314E">
        <w:rPr>
          <w:rFonts w:ascii="Arial" w:hAnsi="Arial" w:cs="Arial"/>
          <w:sz w:val="20"/>
          <w:szCs w:val="20"/>
        </w:rPr>
        <w:t xml:space="preserve"> des </w:t>
      </w:r>
      <w:proofErr w:type="spellStart"/>
      <w:r w:rsidRPr="0021314E">
        <w:rPr>
          <w:rFonts w:ascii="Arial" w:hAnsi="Arial" w:cs="Arial"/>
          <w:sz w:val="20"/>
          <w:szCs w:val="20"/>
        </w:rPr>
        <w:t>inondations</w:t>
      </w:r>
      <w:proofErr w:type="spellEnd"/>
      <w:r w:rsidRPr="0021314E">
        <w:rPr>
          <w:rFonts w:ascii="Arial" w:hAnsi="Arial" w:cs="Arial"/>
          <w:sz w:val="20"/>
          <w:szCs w:val="20"/>
        </w:rPr>
        <w:t xml:space="preserve"> </w:t>
      </w:r>
      <w:proofErr w:type="spellStart"/>
      <w:r w:rsidRPr="0021314E">
        <w:rPr>
          <w:rFonts w:ascii="Arial" w:hAnsi="Arial" w:cs="Arial"/>
          <w:sz w:val="20"/>
          <w:szCs w:val="20"/>
        </w:rPr>
        <w:t>urbaines</w:t>
      </w:r>
      <w:proofErr w:type="spellEnd"/>
      <w:r w:rsidRPr="0021314E">
        <w:rPr>
          <w:rFonts w:ascii="Arial" w:hAnsi="Arial" w:cs="Arial"/>
          <w:sz w:val="20"/>
          <w:szCs w:val="20"/>
        </w:rPr>
        <w:t xml:space="preserve">, </w:t>
      </w:r>
      <w:proofErr w:type="spellStart"/>
      <w:r w:rsidRPr="0021314E">
        <w:rPr>
          <w:rFonts w:ascii="Arial" w:hAnsi="Arial" w:cs="Arial"/>
          <w:sz w:val="20"/>
          <w:szCs w:val="20"/>
        </w:rPr>
        <w:t>Pluie</w:t>
      </w:r>
      <w:proofErr w:type="spellEnd"/>
      <w:r w:rsidRPr="0021314E">
        <w:rPr>
          <w:rFonts w:ascii="Arial" w:hAnsi="Arial" w:cs="Arial"/>
          <w:sz w:val="20"/>
          <w:szCs w:val="20"/>
        </w:rPr>
        <w:t xml:space="preserve"> 30 </w:t>
      </w:r>
      <w:proofErr w:type="spellStart"/>
      <w:r w:rsidRPr="0021314E">
        <w:rPr>
          <w:rFonts w:ascii="Arial" w:hAnsi="Arial" w:cs="Arial"/>
          <w:sz w:val="20"/>
          <w:szCs w:val="20"/>
        </w:rPr>
        <w:t>ans</w:t>
      </w:r>
      <w:proofErr w:type="spellEnd"/>
      <w:r w:rsidRPr="0021314E">
        <w:rPr>
          <w:rFonts w:ascii="Arial" w:hAnsi="Arial" w:cs="Arial"/>
          <w:sz w:val="20"/>
          <w:szCs w:val="20"/>
        </w:rPr>
        <w:t>, Infrastructure vert-bleu-gris, Ville-</w:t>
      </w:r>
      <w:proofErr w:type="spellStart"/>
      <w:r w:rsidRPr="0021314E">
        <w:rPr>
          <w:rFonts w:ascii="Arial" w:hAnsi="Arial" w:cs="Arial"/>
          <w:sz w:val="20"/>
          <w:szCs w:val="20"/>
        </w:rPr>
        <w:t>éponge</w:t>
      </w:r>
      <w:proofErr w:type="spellEnd"/>
      <w:r w:rsidRPr="0021314E">
        <w:rPr>
          <w:rFonts w:ascii="Arial" w:hAnsi="Arial" w:cs="Arial"/>
          <w:sz w:val="20"/>
          <w:szCs w:val="20"/>
        </w:rPr>
        <w:t xml:space="preserve">, Zhenjiang, </w:t>
      </w:r>
      <w:proofErr w:type="spellStart"/>
      <w:r w:rsidRPr="0021314E">
        <w:rPr>
          <w:rFonts w:ascii="Arial" w:hAnsi="Arial" w:cs="Arial"/>
          <w:sz w:val="20"/>
          <w:szCs w:val="20"/>
        </w:rPr>
        <w:t>Qualité</w:t>
      </w:r>
      <w:proofErr w:type="spellEnd"/>
      <w:r w:rsidRPr="0021314E">
        <w:rPr>
          <w:rFonts w:ascii="Arial" w:hAnsi="Arial" w:cs="Arial"/>
          <w:sz w:val="20"/>
          <w:szCs w:val="20"/>
        </w:rPr>
        <w:t xml:space="preserve"> de </w:t>
      </w:r>
      <w:proofErr w:type="spellStart"/>
      <w:r w:rsidRPr="0021314E">
        <w:rPr>
          <w:rFonts w:ascii="Arial" w:hAnsi="Arial" w:cs="Arial"/>
          <w:sz w:val="20"/>
          <w:szCs w:val="20"/>
        </w:rPr>
        <w:t>l’eau</w:t>
      </w:r>
      <w:proofErr w:type="spellEnd"/>
      <w:r w:rsidRPr="0021314E">
        <w:rPr>
          <w:rFonts w:ascii="Arial" w:hAnsi="Arial" w:cs="Arial"/>
          <w:sz w:val="20"/>
          <w:szCs w:val="20"/>
        </w:rPr>
        <w:t xml:space="preserve">, </w:t>
      </w:r>
      <w:proofErr w:type="spellStart"/>
      <w:r w:rsidRPr="0021314E">
        <w:rPr>
          <w:rFonts w:ascii="Arial" w:hAnsi="Arial" w:cs="Arial"/>
          <w:sz w:val="20"/>
          <w:szCs w:val="20"/>
        </w:rPr>
        <w:t>Résilience</w:t>
      </w:r>
      <w:proofErr w:type="spellEnd"/>
      <w:r w:rsidRPr="0021314E">
        <w:rPr>
          <w:rFonts w:ascii="Arial" w:hAnsi="Arial" w:cs="Arial"/>
          <w:sz w:val="20"/>
          <w:szCs w:val="20"/>
        </w:rPr>
        <w:t xml:space="preserve"> </w:t>
      </w:r>
      <w:proofErr w:type="spellStart"/>
      <w:r w:rsidRPr="0021314E">
        <w:rPr>
          <w:rFonts w:ascii="Arial" w:hAnsi="Arial" w:cs="Arial"/>
          <w:sz w:val="20"/>
          <w:szCs w:val="20"/>
        </w:rPr>
        <w:t>climatique</w:t>
      </w:r>
      <w:proofErr w:type="spellEnd"/>
    </w:p>
    <w:p w14:paraId="06326855" w14:textId="683F6618" w:rsidR="00E92B13" w:rsidRPr="00E436FB" w:rsidRDefault="00E92B13">
      <w:pPr>
        <w:rPr>
          <w:rFonts w:ascii="Arial" w:hAnsi="Arial" w:cs="Arial"/>
          <w:sz w:val="20"/>
          <w:szCs w:val="20"/>
        </w:rPr>
      </w:pPr>
    </w:p>
    <w:p w14:paraId="09627B77" w14:textId="6CF106CE" w:rsidR="008F7AE8" w:rsidRPr="00E436FB" w:rsidRDefault="00117559">
      <w:pPr>
        <w:rPr>
          <w:rFonts w:ascii="Arial" w:hAnsi="Arial" w:cs="Arial"/>
          <w:b/>
          <w:sz w:val="24"/>
          <w:szCs w:val="24"/>
        </w:rPr>
      </w:pPr>
      <w:r w:rsidRPr="00E436FB">
        <w:rPr>
          <w:rFonts w:ascii="Arial" w:hAnsi="Arial" w:cs="Arial"/>
          <w:b/>
          <w:sz w:val="24"/>
          <w:szCs w:val="24"/>
        </w:rPr>
        <w:t>A</w:t>
      </w:r>
      <w:r w:rsidR="00461CC1">
        <w:rPr>
          <w:rFonts w:ascii="Arial" w:hAnsi="Arial" w:cs="Arial"/>
          <w:b/>
          <w:sz w:val="24"/>
          <w:szCs w:val="24"/>
        </w:rPr>
        <w:t>BSTRACT</w:t>
      </w:r>
      <w:r w:rsidRPr="00E436FB">
        <w:rPr>
          <w:rFonts w:ascii="Arial" w:hAnsi="Arial" w:cs="Arial"/>
          <w:b/>
          <w:sz w:val="24"/>
          <w:szCs w:val="24"/>
        </w:rPr>
        <w:t>:</w:t>
      </w:r>
    </w:p>
    <w:p w14:paraId="2F1D9C94" w14:textId="019A7707" w:rsidR="00ED5022" w:rsidRPr="00ED5022" w:rsidRDefault="00ED5022" w:rsidP="00ED5022">
      <w:pPr>
        <w:rPr>
          <w:rFonts w:ascii="Arial" w:hAnsi="Arial" w:cs="Arial"/>
          <w:sz w:val="20"/>
          <w:szCs w:val="20"/>
        </w:rPr>
      </w:pPr>
      <w:r w:rsidRPr="00ED5022">
        <w:rPr>
          <w:rFonts w:ascii="Arial" w:hAnsi="Arial" w:cs="Arial"/>
          <w:sz w:val="20"/>
          <w:szCs w:val="20"/>
        </w:rPr>
        <w:t>The Zhenjiang Sponge City pilot (2015–2025) demonstrates a fully integrated green-blue-grey system for climate-resilient urban water management in a dense, 2</w:t>
      </w:r>
      <w:r>
        <w:rPr>
          <w:rFonts w:ascii="Arial" w:hAnsi="Arial" w:cs="Arial"/>
          <w:sz w:val="20"/>
          <w:szCs w:val="20"/>
        </w:rPr>
        <w:t>9</w:t>
      </w:r>
      <w:r w:rsidRPr="00ED5022">
        <w:rPr>
          <w:rFonts w:ascii="Arial" w:hAnsi="Arial" w:cs="Arial"/>
          <w:sz w:val="20"/>
          <w:szCs w:val="20"/>
        </w:rPr>
        <w:t xml:space="preserve"> km² </w:t>
      </w:r>
      <w:r>
        <w:rPr>
          <w:rFonts w:ascii="Arial" w:hAnsi="Arial" w:cs="Arial"/>
          <w:sz w:val="20"/>
          <w:szCs w:val="20"/>
        </w:rPr>
        <w:t xml:space="preserve">urban </w:t>
      </w:r>
      <w:r w:rsidRPr="00ED5022">
        <w:rPr>
          <w:rFonts w:ascii="Arial" w:hAnsi="Arial" w:cs="Arial"/>
          <w:sz w:val="20"/>
          <w:szCs w:val="20"/>
        </w:rPr>
        <w:t xml:space="preserve">watershed. The project’s systemic approach successfully manages 30-year return period storms (e.g., 256 mm/24 h), </w:t>
      </w:r>
      <w:r w:rsidR="002241BA" w:rsidRPr="002241BA">
        <w:rPr>
          <w:rFonts w:ascii="Arial" w:hAnsi="Arial" w:cs="Arial"/>
          <w:sz w:val="20"/>
          <w:szCs w:val="20"/>
        </w:rPr>
        <w:t xml:space="preserve">has </w:t>
      </w:r>
      <w:r w:rsidR="0020037E">
        <w:rPr>
          <w:rFonts w:ascii="Arial" w:hAnsi="Arial" w:cs="Arial"/>
          <w:sz w:val="20"/>
          <w:szCs w:val="20"/>
        </w:rPr>
        <w:t xml:space="preserve">effectively </w:t>
      </w:r>
      <w:r w:rsidR="002241BA" w:rsidRPr="002241BA">
        <w:rPr>
          <w:rFonts w:ascii="Arial" w:hAnsi="Arial" w:cs="Arial"/>
          <w:sz w:val="20"/>
          <w:szCs w:val="20"/>
        </w:rPr>
        <w:t>eliminated chronic waterlogging at all 48 historical hotspots</w:t>
      </w:r>
      <w:r w:rsidRPr="00ED5022">
        <w:rPr>
          <w:rFonts w:ascii="Arial" w:hAnsi="Arial" w:cs="Arial"/>
          <w:sz w:val="20"/>
          <w:szCs w:val="20"/>
        </w:rPr>
        <w:t>, and enhances water quality to China's Class III standard.</w:t>
      </w:r>
    </w:p>
    <w:p w14:paraId="1E0CB39B" w14:textId="0BEF71DD" w:rsidR="00ED5022" w:rsidRPr="00ED5022" w:rsidRDefault="00ED5022" w:rsidP="00ED5022">
      <w:pPr>
        <w:rPr>
          <w:rFonts w:ascii="Arial" w:hAnsi="Arial" w:cs="Arial"/>
          <w:sz w:val="20"/>
          <w:szCs w:val="20"/>
        </w:rPr>
      </w:pPr>
      <w:r w:rsidRPr="00ED5022">
        <w:rPr>
          <w:rFonts w:ascii="Arial" w:hAnsi="Arial" w:cs="Arial"/>
          <w:sz w:val="20"/>
          <w:szCs w:val="20"/>
        </w:rPr>
        <w:lastRenderedPageBreak/>
        <w:t xml:space="preserve">The core strategy combines Low Impact Development (LID) </w:t>
      </w:r>
      <w:r>
        <w:rPr>
          <w:rFonts w:ascii="Arial" w:hAnsi="Arial" w:cs="Arial"/>
          <w:sz w:val="20"/>
          <w:szCs w:val="20"/>
        </w:rPr>
        <w:t>principles</w:t>
      </w:r>
      <w:r w:rsidRPr="00ED5022">
        <w:rPr>
          <w:rFonts w:ascii="Arial" w:hAnsi="Arial" w:cs="Arial"/>
          <w:sz w:val="20"/>
          <w:szCs w:val="20"/>
        </w:rPr>
        <w:t xml:space="preserve"> (</w:t>
      </w:r>
      <w:r>
        <w:rPr>
          <w:rFonts w:ascii="Arial" w:hAnsi="Arial" w:cs="Arial"/>
          <w:sz w:val="20"/>
          <w:szCs w:val="20"/>
        </w:rPr>
        <w:t>restoring the develop</w:t>
      </w:r>
      <w:r w:rsidR="00A35117">
        <w:rPr>
          <w:rFonts w:ascii="Arial" w:hAnsi="Arial" w:cs="Arial"/>
          <w:sz w:val="20"/>
          <w:szCs w:val="20"/>
        </w:rPr>
        <w:t xml:space="preserve">ed </w:t>
      </w:r>
      <w:r>
        <w:rPr>
          <w:rFonts w:ascii="Arial" w:hAnsi="Arial" w:cs="Arial"/>
          <w:sz w:val="20"/>
          <w:szCs w:val="20"/>
        </w:rPr>
        <w:t>sites’ hydro</w:t>
      </w:r>
      <w:r w:rsidR="00A35117">
        <w:rPr>
          <w:rFonts w:ascii="Arial" w:hAnsi="Arial" w:cs="Arial"/>
          <w:sz w:val="20"/>
          <w:szCs w:val="20"/>
        </w:rPr>
        <w:t>logy</w:t>
      </w:r>
      <w:r>
        <w:rPr>
          <w:rFonts w:ascii="Arial" w:hAnsi="Arial" w:cs="Arial"/>
          <w:sz w:val="20"/>
          <w:szCs w:val="20"/>
        </w:rPr>
        <w:t xml:space="preserve"> to pre-development conditions as close as possible</w:t>
      </w:r>
      <w:r w:rsidRPr="00ED5022">
        <w:rPr>
          <w:rFonts w:ascii="Arial" w:hAnsi="Arial" w:cs="Arial"/>
          <w:sz w:val="20"/>
          <w:szCs w:val="20"/>
        </w:rPr>
        <w:t xml:space="preserve">) with end-of-pipe blue treatment facilities that are integral to </w:t>
      </w:r>
      <w:r w:rsidRPr="00ED5022">
        <w:rPr>
          <w:rFonts w:ascii="Arial" w:hAnsi="Arial" w:cs="Arial"/>
          <w:sz w:val="20"/>
          <w:szCs w:val="20"/>
        </w:rPr>
        <w:t>Sponge</w:t>
      </w:r>
      <w:r w:rsidRPr="00ED5022">
        <w:rPr>
          <w:rFonts w:ascii="Arial" w:hAnsi="Arial" w:cs="Arial"/>
          <w:sz w:val="20"/>
          <w:szCs w:val="20"/>
        </w:rPr>
        <w:t xml:space="preserve"> City construction. These facilities, including the </w:t>
      </w:r>
      <w:r w:rsidR="00A35117">
        <w:rPr>
          <w:rFonts w:ascii="Arial" w:hAnsi="Arial" w:cs="Arial"/>
          <w:sz w:val="20"/>
          <w:szCs w:val="20"/>
        </w:rPr>
        <w:t>innovative high-performance</w:t>
      </w:r>
      <w:r w:rsidRPr="00ED5022">
        <w:rPr>
          <w:rFonts w:ascii="Arial" w:hAnsi="Arial" w:cs="Arial"/>
          <w:sz w:val="20"/>
          <w:szCs w:val="20"/>
        </w:rPr>
        <w:t xml:space="preserve"> wetlands and dual-use community parks, provide significant temporary storage for runoff exceeding the 30-year design.</w:t>
      </w:r>
    </w:p>
    <w:p w14:paraId="560C0092" w14:textId="73BE477F" w:rsidR="00ED5022" w:rsidRPr="00ED5022" w:rsidRDefault="00ED5022" w:rsidP="00ED5022">
      <w:pPr>
        <w:rPr>
          <w:rFonts w:ascii="Arial" w:hAnsi="Arial" w:cs="Arial"/>
          <w:sz w:val="20"/>
          <w:szCs w:val="20"/>
        </w:rPr>
      </w:pPr>
      <w:r w:rsidRPr="00ED5022">
        <w:rPr>
          <w:rFonts w:ascii="Arial" w:hAnsi="Arial" w:cs="Arial"/>
          <w:sz w:val="20"/>
          <w:szCs w:val="20"/>
        </w:rPr>
        <w:t xml:space="preserve">The critical "grey" backbone is a 6.2 km, 4-meter diameter deep tunnel, which is buried up to </w:t>
      </w:r>
      <w:r w:rsidR="00A35117">
        <w:rPr>
          <w:rFonts w:ascii="Arial" w:hAnsi="Arial" w:cs="Arial"/>
          <w:sz w:val="20"/>
          <w:szCs w:val="20"/>
        </w:rPr>
        <w:t>34</w:t>
      </w:r>
      <w:r w:rsidRPr="00ED5022">
        <w:rPr>
          <w:rFonts w:ascii="Arial" w:hAnsi="Arial" w:cs="Arial"/>
          <w:sz w:val="20"/>
          <w:szCs w:val="20"/>
        </w:rPr>
        <w:t xml:space="preserve"> meters and uniquely crosses the Yangtze River to convey upstream </w:t>
      </w:r>
      <w:r w:rsidR="00A35117">
        <w:rPr>
          <w:rFonts w:ascii="Arial" w:hAnsi="Arial" w:cs="Arial"/>
          <w:sz w:val="20"/>
          <w:szCs w:val="20"/>
        </w:rPr>
        <w:t xml:space="preserve">and heritage areas’ </w:t>
      </w:r>
      <w:r w:rsidRPr="00ED5022">
        <w:rPr>
          <w:rFonts w:ascii="Arial" w:hAnsi="Arial" w:cs="Arial"/>
          <w:sz w:val="20"/>
          <w:szCs w:val="20"/>
        </w:rPr>
        <w:t>runoff and Combined Sewer Overflows (CSOs) to terminal ecological oxidation ponds</w:t>
      </w:r>
      <w:r w:rsidR="00A35117">
        <w:rPr>
          <w:rFonts w:ascii="Arial" w:hAnsi="Arial" w:cs="Arial"/>
          <w:sz w:val="20"/>
          <w:szCs w:val="20"/>
        </w:rPr>
        <w:t xml:space="preserve"> in an island in the Yangtze River</w:t>
      </w:r>
      <w:r w:rsidRPr="00ED5022">
        <w:rPr>
          <w:rFonts w:ascii="Arial" w:hAnsi="Arial" w:cs="Arial"/>
          <w:sz w:val="20"/>
          <w:szCs w:val="20"/>
        </w:rPr>
        <w:t>.</w:t>
      </w:r>
    </w:p>
    <w:p w14:paraId="0DD64D3F" w14:textId="758C46A3" w:rsidR="00ED5022" w:rsidRPr="00ED5022" w:rsidRDefault="00ED5022" w:rsidP="00ED5022">
      <w:pPr>
        <w:rPr>
          <w:rFonts w:ascii="Arial" w:hAnsi="Arial" w:cs="Arial"/>
          <w:sz w:val="20"/>
          <w:szCs w:val="20"/>
        </w:rPr>
      </w:pPr>
      <w:r w:rsidRPr="00ED5022">
        <w:rPr>
          <w:rFonts w:ascii="Arial" w:hAnsi="Arial" w:cs="Arial" w:hint="eastAsia"/>
          <w:sz w:val="20"/>
          <w:szCs w:val="20"/>
        </w:rPr>
        <w:t xml:space="preserve">Ten years of monitoring and observations confirm exceptional real-world performance: retrofitted districts experienced </w:t>
      </w:r>
      <w:r w:rsidR="000F75A9" w:rsidRPr="000F75A9">
        <w:rPr>
          <w:rFonts w:ascii="Arial" w:hAnsi="Arial" w:cs="Arial"/>
          <w:sz w:val="20"/>
          <w:szCs w:val="20"/>
        </w:rPr>
        <w:t>no waterlogging incidents at any of the 48 former chronic hotspots across hundreds of storms</w:t>
      </w:r>
      <w:r w:rsidR="000F75A9" w:rsidRPr="000F75A9">
        <w:rPr>
          <w:rFonts w:ascii="Arial" w:hAnsi="Arial" w:cs="Arial" w:hint="eastAsia"/>
          <w:sz w:val="20"/>
          <w:szCs w:val="20"/>
        </w:rPr>
        <w:t xml:space="preserve"> </w:t>
      </w:r>
      <w:r w:rsidRPr="00ED5022">
        <w:rPr>
          <w:rFonts w:ascii="Arial" w:hAnsi="Arial" w:cs="Arial" w:hint="eastAsia"/>
          <w:sz w:val="20"/>
          <w:szCs w:val="20"/>
        </w:rPr>
        <w:t xml:space="preserve">with &gt;99% onsite rainfall retention recorded. The system captures </w:t>
      </w:r>
      <w:r w:rsidRPr="00ED5022">
        <w:rPr>
          <w:rFonts w:ascii="Arial" w:hAnsi="Arial" w:cs="Arial" w:hint="eastAsia"/>
          <w:sz w:val="20"/>
          <w:szCs w:val="20"/>
        </w:rPr>
        <w:t>≥</w:t>
      </w:r>
      <w:r w:rsidRPr="00ED5022">
        <w:rPr>
          <w:rFonts w:ascii="Arial" w:hAnsi="Arial" w:cs="Arial" w:hint="eastAsia"/>
          <w:sz w:val="20"/>
          <w:szCs w:val="20"/>
        </w:rPr>
        <w:t>7</w:t>
      </w:r>
      <w:r w:rsidR="000F75A9">
        <w:rPr>
          <w:rFonts w:ascii="Arial" w:hAnsi="Arial" w:cs="Arial"/>
          <w:sz w:val="20"/>
          <w:szCs w:val="20"/>
        </w:rPr>
        <w:t>6</w:t>
      </w:r>
      <w:r w:rsidRPr="00ED5022">
        <w:rPr>
          <w:rFonts w:ascii="Arial" w:hAnsi="Arial" w:cs="Arial" w:hint="eastAsia"/>
          <w:sz w:val="20"/>
          <w:szCs w:val="20"/>
        </w:rPr>
        <w:t>% of annual runo</w:t>
      </w:r>
      <w:r w:rsidRPr="00ED5022">
        <w:rPr>
          <w:rFonts w:ascii="Arial" w:hAnsi="Arial" w:cs="Arial"/>
          <w:sz w:val="20"/>
          <w:szCs w:val="20"/>
        </w:rPr>
        <w:t>ff and has proven to be a scalable, effective model for hybrid infrastructure in high-density cities worldwide.</w:t>
      </w:r>
    </w:p>
    <w:p w14:paraId="27D27120" w14:textId="77777777" w:rsidR="00ED5022" w:rsidRDefault="00ED5022" w:rsidP="00ED5022">
      <w:pPr>
        <w:rPr>
          <w:rFonts w:ascii="Arial" w:hAnsi="Arial" w:cs="Arial"/>
          <w:sz w:val="20"/>
          <w:szCs w:val="20"/>
        </w:rPr>
      </w:pPr>
      <w:r w:rsidRPr="00A35117">
        <w:rPr>
          <w:rFonts w:ascii="Arial" w:hAnsi="Arial" w:cs="Arial"/>
          <w:b/>
          <w:bCs/>
          <w:sz w:val="20"/>
          <w:szCs w:val="20"/>
        </w:rPr>
        <w:t>Keywords</w:t>
      </w:r>
      <w:r w:rsidRPr="00ED5022">
        <w:rPr>
          <w:rFonts w:ascii="Arial" w:hAnsi="Arial" w:cs="Arial"/>
          <w:sz w:val="20"/>
          <w:szCs w:val="20"/>
        </w:rPr>
        <w:t>: Urban Flood Mitigation, 30-Year Storm, Green-Blue-Grey Infrastructure, Sponge City, Zhenjiang, Water Quality, Climate Resilience.</w:t>
      </w:r>
    </w:p>
    <w:p w14:paraId="21555A9F" w14:textId="32A9669D" w:rsidR="00C12C3B" w:rsidRPr="00F35A71" w:rsidRDefault="00D26C47" w:rsidP="00ED5022">
      <w:pPr>
        <w:rPr>
          <w:rFonts w:ascii="Arial" w:hAnsi="Arial" w:cs="Arial"/>
          <w:b/>
          <w:sz w:val="24"/>
          <w:szCs w:val="24"/>
        </w:rPr>
      </w:pPr>
      <w:r w:rsidRPr="00F35A71">
        <w:rPr>
          <w:rFonts w:ascii="Arial" w:hAnsi="Arial" w:cs="Arial"/>
          <w:b/>
          <w:sz w:val="24"/>
          <w:szCs w:val="24"/>
        </w:rPr>
        <w:t>1. I</w:t>
      </w:r>
      <w:r w:rsidR="00074291">
        <w:rPr>
          <w:rFonts w:ascii="Arial" w:hAnsi="Arial" w:cs="Arial"/>
          <w:b/>
          <w:sz w:val="24"/>
          <w:szCs w:val="24"/>
        </w:rPr>
        <w:t>NTRODUCTION</w:t>
      </w:r>
    </w:p>
    <w:p w14:paraId="0CBCFD4B" w14:textId="77777777" w:rsidR="005F1BAC" w:rsidRPr="005F1BAC" w:rsidRDefault="005F1BAC" w:rsidP="005F1BAC">
      <w:pPr>
        <w:rPr>
          <w:rFonts w:ascii="Arial" w:hAnsi="Arial" w:cs="Arial"/>
          <w:sz w:val="20"/>
          <w:szCs w:val="20"/>
        </w:rPr>
      </w:pPr>
      <w:r w:rsidRPr="005F1BAC">
        <w:rPr>
          <w:rFonts w:ascii="Arial" w:hAnsi="Arial" w:cs="Arial"/>
          <w:sz w:val="20"/>
          <w:szCs w:val="20"/>
        </w:rPr>
        <w:t>Rapid urbanization in China has dramatically increased impervious surfaces, intensifying pluvial flooding and diffuse pollution in many older cities. Zhenjiang, a historic city on the lower Yangtze River, faced not only recurrent summer waterlogging but also severe degradation of urban water bodies. Historical records documented 48 chronic flooding hotspots within the pilot area, with vulnerable, low-income communities being particularly troubled. These areas, situated at the lowest point of the drainage basin, suffered catastrophic annual waterlogging because they relied on a legacy drainage system designed only for a 1-year storm event. This hydraulic failure was compounded by widespread infrastructure deficiencies, including continuous sewer surcharge posing public health risks, illicit connections, and a profound lack of communal green and recreational space. These systemic failures accelerated community decline, driving out younger generations and leaving behind a population predominantly composed of the elderly and children.</w:t>
      </w:r>
    </w:p>
    <w:p w14:paraId="4B5E579A" w14:textId="63A0A532" w:rsidR="005F1BAC" w:rsidRPr="005F1BAC" w:rsidRDefault="005F1BAC" w:rsidP="005F1BAC">
      <w:pPr>
        <w:rPr>
          <w:rFonts w:ascii="Arial" w:hAnsi="Arial" w:cs="Arial" w:hint="eastAsia"/>
          <w:sz w:val="20"/>
          <w:szCs w:val="20"/>
        </w:rPr>
      </w:pPr>
      <w:r w:rsidRPr="005F1BAC">
        <w:rPr>
          <w:rFonts w:ascii="Arial" w:hAnsi="Arial" w:cs="Arial"/>
          <w:sz w:val="20"/>
          <w:szCs w:val="20"/>
        </w:rPr>
        <w:t>In 2015, Zhenjiang was selected as a prestigious first-batch national Sponge City pilot with an ambitious, multi-objective mandate: to eliminate waterlogging under a 30-year return-period storm (256 mm/24 h), restore receiving-water quality to the national</w:t>
      </w:r>
      <w:r w:rsidRPr="005F1BAC">
        <w:rPr>
          <w:rFonts w:ascii="Arial" w:hAnsi="Arial" w:cs="Arial" w:hint="eastAsia"/>
          <w:sz w:val="20"/>
          <w:szCs w:val="20"/>
        </w:rPr>
        <w:t xml:space="preserve"> Class III standard, and capture a minimum of 75% of annual runoff.</w:t>
      </w:r>
    </w:p>
    <w:p w14:paraId="16F90A7D" w14:textId="77777777" w:rsidR="004A579E" w:rsidRDefault="004A579E" w:rsidP="005F1BAC">
      <w:pPr>
        <w:rPr>
          <w:rFonts w:ascii="Arial" w:hAnsi="Arial" w:cs="Arial"/>
          <w:sz w:val="20"/>
          <w:szCs w:val="20"/>
        </w:rPr>
      </w:pPr>
      <w:r w:rsidRPr="004A579E">
        <w:rPr>
          <w:rFonts w:ascii="Arial" w:hAnsi="Arial" w:cs="Arial"/>
          <w:sz w:val="20"/>
          <w:szCs w:val="20"/>
        </w:rPr>
        <w:t xml:space="preserve">This paper presents a 10-year retro-study and validation of the fully integrated </w:t>
      </w:r>
      <w:proofErr w:type="gramStart"/>
      <w:r w:rsidRPr="004A579E">
        <w:rPr>
          <w:rFonts w:ascii="Arial" w:hAnsi="Arial" w:cs="Arial"/>
          <w:sz w:val="20"/>
          <w:szCs w:val="20"/>
        </w:rPr>
        <w:t>green–blue</w:t>
      </w:r>
      <w:proofErr w:type="gramEnd"/>
      <w:r w:rsidRPr="004A579E">
        <w:rPr>
          <w:rFonts w:ascii="Arial" w:hAnsi="Arial" w:cs="Arial"/>
          <w:sz w:val="20"/>
          <w:szCs w:val="20"/>
        </w:rPr>
        <w:t>–grey system implemented across the 29 km² core pilot area of the Jinshan Lake Watershed. The solution strategically combines distributed LID practices (bioretention, permeable pavements) for effective source control, end-of-pipe blue treatment facilities (innovative high-performance wetlands, dual-use community parks) for large-scale temporary storage for extreme rainfalls exceeding 30-years, and a critical grey backbone—a 6.2 km deep tunnel that uniquely crosses the Yangtze River—to intercept Combined Sewer Overflows (CSOs). Drawing on ten years (2015–2025) of monitored performance data, the study validates how this pioneering hybrid approach delivered full flood elimination and durable water-quality benefits, offering a highly replicable model for high-density cities worldwide.</w:t>
      </w:r>
    </w:p>
    <w:p w14:paraId="5CDAF450" w14:textId="6A138B31" w:rsidR="008905AD" w:rsidRPr="00F35A71" w:rsidRDefault="00AD5DF6" w:rsidP="005F1BAC">
      <w:pPr>
        <w:rPr>
          <w:rFonts w:ascii="Arial" w:hAnsi="Arial" w:cs="Arial"/>
          <w:b/>
          <w:sz w:val="24"/>
          <w:szCs w:val="24"/>
        </w:rPr>
      </w:pPr>
      <w:r w:rsidRPr="00F35A71">
        <w:rPr>
          <w:rFonts w:ascii="Arial" w:hAnsi="Arial" w:cs="Arial"/>
          <w:b/>
          <w:sz w:val="24"/>
          <w:szCs w:val="24"/>
        </w:rPr>
        <w:t xml:space="preserve">2. </w:t>
      </w:r>
      <w:r w:rsidR="002D57D8">
        <w:rPr>
          <w:rFonts w:ascii="Arial" w:hAnsi="Arial" w:cs="Arial" w:hint="eastAsia"/>
          <w:b/>
          <w:sz w:val="24"/>
          <w:szCs w:val="24"/>
        </w:rPr>
        <w:t>METHODS</w:t>
      </w:r>
    </w:p>
    <w:p w14:paraId="25C3CFC3" w14:textId="4439E390" w:rsidR="00164703" w:rsidRPr="00305773" w:rsidRDefault="00164703" w:rsidP="00084E69">
      <w:pPr>
        <w:rPr>
          <w:rFonts w:ascii="Arial" w:hAnsi="Arial" w:cs="Arial"/>
          <w:b/>
          <w:sz w:val="24"/>
          <w:szCs w:val="24"/>
        </w:rPr>
      </w:pPr>
      <w:r w:rsidRPr="00305773">
        <w:rPr>
          <w:rFonts w:ascii="Arial" w:hAnsi="Arial" w:cs="Arial"/>
          <w:b/>
          <w:sz w:val="24"/>
          <w:szCs w:val="24"/>
        </w:rPr>
        <w:t>2.1</w:t>
      </w:r>
      <w:r w:rsidR="00F968EB">
        <w:rPr>
          <w:rFonts w:ascii="Arial" w:hAnsi="Arial" w:cs="Arial" w:hint="eastAsia"/>
          <w:b/>
          <w:sz w:val="24"/>
          <w:szCs w:val="24"/>
        </w:rPr>
        <w:t xml:space="preserve"> </w:t>
      </w:r>
      <w:r w:rsidR="00F968EB" w:rsidRPr="00F968EB">
        <w:rPr>
          <w:rFonts w:ascii="Arial" w:hAnsi="Arial" w:cs="Arial"/>
          <w:b/>
          <w:sz w:val="24"/>
          <w:szCs w:val="24"/>
        </w:rPr>
        <w:t>Study Area and Baseline Conditions</w:t>
      </w:r>
    </w:p>
    <w:p w14:paraId="6A2016A1" w14:textId="10114439" w:rsidR="005E36CB" w:rsidRPr="00CD3A32" w:rsidRDefault="00F968EB" w:rsidP="00084E69">
      <w:pPr>
        <w:rPr>
          <w:rFonts w:ascii="Arial" w:hAnsi="Arial" w:cs="Arial"/>
          <w:sz w:val="20"/>
          <w:szCs w:val="20"/>
        </w:rPr>
      </w:pPr>
      <w:r w:rsidRPr="00F968EB">
        <w:rPr>
          <w:rFonts w:ascii="Arial" w:hAnsi="Arial" w:cs="Arial"/>
          <w:sz w:val="20"/>
          <w:szCs w:val="20"/>
        </w:rPr>
        <w:t>The Zhenjiang Sponge City pilot covers a 2</w:t>
      </w:r>
      <w:r>
        <w:rPr>
          <w:rFonts w:ascii="Arial" w:hAnsi="Arial" w:cs="Arial" w:hint="eastAsia"/>
          <w:sz w:val="20"/>
          <w:szCs w:val="20"/>
        </w:rPr>
        <w:t>9</w:t>
      </w:r>
      <w:r w:rsidRPr="00F968EB">
        <w:rPr>
          <w:rFonts w:ascii="Arial" w:hAnsi="Arial" w:cs="Arial"/>
          <w:sz w:val="20"/>
          <w:szCs w:val="20"/>
        </w:rPr>
        <w:t xml:space="preserve"> km² core urban watershed centered on Jinshan Lake characterized by high imperviousness (65–75%) and legacy drainage systems designed for only 1-year return period events. Baseline assessments (2007–2014) identified key challenges: 48 recurrent flooding hotspots with annual waterlogging in low-lying communities; combined sewer overflows (CSOs) causing </w:t>
      </w:r>
      <w:r w:rsidRPr="00F968EB">
        <w:rPr>
          <w:rFonts w:ascii="Arial" w:hAnsi="Arial" w:cs="Arial"/>
          <w:sz w:val="20"/>
          <w:szCs w:val="20"/>
        </w:rPr>
        <w:lastRenderedPageBreak/>
        <w:t>black-odorous water in 2 rivers (among 5 inferior Class V waterbodies); and non-point source pollution from various land uses. Historical records showed rainfall-runoff patterns influenced by the Yangtze River confluence, with TMDL (Total Maximum Daily Load) analysis revealing annual pollutant loads into one lake and three rivers (e.g., COD 8148 t/a, NH3-N 81 t/a, TP 28 t/a) exceeding capacity by 30–85</w:t>
      </w:r>
      <w:r w:rsidR="001D2853" w:rsidRPr="00F968EB">
        <w:rPr>
          <w:rFonts w:ascii="Arial" w:hAnsi="Arial" w:cs="Arial"/>
          <w:sz w:val="20"/>
          <w:szCs w:val="20"/>
        </w:rPr>
        <w:t>%.</w:t>
      </w:r>
      <w:r w:rsidRPr="00F968EB">
        <w:rPr>
          <w:rFonts w:ascii="Arial" w:hAnsi="Arial" w:cs="Arial"/>
          <w:sz w:val="20"/>
          <w:szCs w:val="20"/>
        </w:rPr>
        <w:t xml:space="preserve"> The area was divided into 11 sub-basins for targeted evaluation, with baseline annual runoff control rates ranging from 38.7% to 57.1%</w:t>
      </w:r>
      <w:r w:rsidR="001D68D6" w:rsidRPr="00074291">
        <w:rPr>
          <w:rFonts w:ascii="Arial" w:hAnsi="Arial" w:cs="Arial"/>
          <w:sz w:val="20"/>
          <w:szCs w:val="20"/>
        </w:rPr>
        <w:t>.</w:t>
      </w:r>
      <w:r w:rsidR="005E36CB" w:rsidRPr="00074291">
        <w:rPr>
          <w:rFonts w:ascii="Arial" w:hAnsi="Arial" w:cs="Arial"/>
          <w:sz w:val="20"/>
          <w:szCs w:val="20"/>
        </w:rPr>
        <w:t xml:space="preserve"> </w:t>
      </w:r>
    </w:p>
    <w:p w14:paraId="62B19913" w14:textId="4CEDAF92" w:rsidR="005E36CB" w:rsidRPr="00305773" w:rsidRDefault="001546F5" w:rsidP="00084E69">
      <w:pPr>
        <w:rPr>
          <w:rFonts w:ascii="Arial" w:hAnsi="Arial" w:cs="Arial"/>
          <w:b/>
          <w:sz w:val="24"/>
          <w:szCs w:val="24"/>
        </w:rPr>
      </w:pPr>
      <w:r w:rsidRPr="00305773">
        <w:rPr>
          <w:rFonts w:ascii="Arial" w:hAnsi="Arial" w:cs="Arial"/>
          <w:b/>
          <w:sz w:val="24"/>
          <w:szCs w:val="24"/>
        </w:rPr>
        <w:t xml:space="preserve">2.2 </w:t>
      </w:r>
      <w:r w:rsidR="001D2853" w:rsidRPr="001D2853">
        <w:rPr>
          <w:rFonts w:ascii="Arial" w:hAnsi="Arial" w:cs="Arial"/>
          <w:b/>
          <w:sz w:val="24"/>
          <w:szCs w:val="24"/>
        </w:rPr>
        <w:t>System Design Framework</w:t>
      </w:r>
    </w:p>
    <w:p w14:paraId="7A5CB08A" w14:textId="77777777" w:rsidR="007F37DB" w:rsidRPr="00256D54" w:rsidRDefault="007F37DB" w:rsidP="007F37DB">
      <w:pPr>
        <w:rPr>
          <w:b/>
          <w:bCs/>
        </w:rPr>
      </w:pPr>
      <w:r w:rsidRPr="00256D54">
        <w:rPr>
          <w:b/>
          <w:bCs/>
        </w:rPr>
        <w:t>2.2</w:t>
      </w:r>
      <w:r>
        <w:rPr>
          <w:b/>
          <w:bCs/>
        </w:rPr>
        <w:t>.1</w:t>
      </w:r>
      <w:r w:rsidRPr="00256D54">
        <w:rPr>
          <w:b/>
          <w:bCs/>
        </w:rPr>
        <w:t xml:space="preserve"> Green Infrastructure (GI) for Source Control</w:t>
      </w:r>
    </w:p>
    <w:p w14:paraId="50ED8588" w14:textId="77777777" w:rsidR="007F37DB" w:rsidRPr="00256D54" w:rsidRDefault="007F37DB" w:rsidP="007F37DB">
      <w:r w:rsidRPr="00256D54">
        <w:t xml:space="preserve">The first layer of the system focused on decentralized source control to manage the "first flush" and delay peak flow at the </w:t>
      </w:r>
      <w:r>
        <w:t>site</w:t>
      </w:r>
      <w:r w:rsidRPr="00256D54">
        <w:t>-scale. This involved widespread retrofit and application of Low Impact</w:t>
      </w:r>
      <w:r w:rsidRPr="00256D54">
        <w:rPr>
          <w:b/>
          <w:bCs/>
        </w:rPr>
        <w:t xml:space="preserve"> </w:t>
      </w:r>
      <w:r w:rsidRPr="00256D54">
        <w:t>Development (LID) practices throughout neighborhoods, roads, and open spaces:</w:t>
      </w:r>
    </w:p>
    <w:p w14:paraId="4328A5B9" w14:textId="77777777" w:rsidR="007F37DB" w:rsidRPr="00256D54" w:rsidRDefault="007F37DB" w:rsidP="007F37DB">
      <w:pPr>
        <w:numPr>
          <w:ilvl w:val="0"/>
          <w:numId w:val="3"/>
        </w:numPr>
      </w:pPr>
      <w:r w:rsidRPr="00256D54">
        <w:rPr>
          <w:b/>
          <w:bCs/>
        </w:rPr>
        <w:t>Measures:</w:t>
      </w:r>
      <w:r w:rsidRPr="00256D54">
        <w:t xml:space="preserve"> Implementation of bioretention cells, permeable pavements (using interlocking pavers to ensure long-term durability), and rain gardens.</w:t>
      </w:r>
    </w:p>
    <w:p w14:paraId="096A7297" w14:textId="77777777" w:rsidR="007F37DB" w:rsidRPr="00256D54" w:rsidRDefault="007F37DB" w:rsidP="007F37DB">
      <w:pPr>
        <w:numPr>
          <w:ilvl w:val="0"/>
          <w:numId w:val="3"/>
        </w:numPr>
      </w:pPr>
      <w:r w:rsidRPr="00256D54">
        <w:rPr>
          <w:b/>
          <w:bCs/>
        </w:rPr>
        <w:t>Hydraulic Function:</w:t>
      </w:r>
      <w:r w:rsidRPr="00256D54">
        <w:t xml:space="preserve"> These measures work to infiltrate, filter, and temporarily store rainfall, ensuring that over 99% of annual runoff from specific </w:t>
      </w:r>
      <w:r>
        <w:t>sub-</w:t>
      </w:r>
      <w:r w:rsidRPr="00256D54">
        <w:t>catchments is detained or treated onsite.</w:t>
      </w:r>
    </w:p>
    <w:p w14:paraId="53BAD02A" w14:textId="77777777" w:rsidR="007F37DB" w:rsidRPr="00256D54" w:rsidRDefault="007F37DB" w:rsidP="007F37DB">
      <w:pPr>
        <w:rPr>
          <w:b/>
          <w:bCs/>
        </w:rPr>
      </w:pPr>
      <w:r w:rsidRPr="00256D54">
        <w:rPr>
          <w:b/>
          <w:bCs/>
        </w:rPr>
        <w:t>2.</w:t>
      </w:r>
      <w:r>
        <w:rPr>
          <w:b/>
          <w:bCs/>
        </w:rPr>
        <w:t>2.2</w:t>
      </w:r>
      <w:r w:rsidRPr="00256D54">
        <w:rPr>
          <w:b/>
          <w:bCs/>
        </w:rPr>
        <w:t xml:space="preserve"> Blue Infrastructure for Regional Storage and Treatment</w:t>
      </w:r>
    </w:p>
    <w:p w14:paraId="40D0B5C5" w14:textId="77777777" w:rsidR="007F37DB" w:rsidRPr="00256D54" w:rsidRDefault="007F37DB" w:rsidP="007F37DB">
      <w:r w:rsidRPr="00256D54">
        <w:t>The blue components are end-of-pipe treatment facilities integral to the Sponge City construction, providing essential capacity for flows exceeding the standard 30-year drainage system capacity.</w:t>
      </w:r>
    </w:p>
    <w:p w14:paraId="21DA3098" w14:textId="77777777" w:rsidR="007F37DB" w:rsidRPr="0068537C" w:rsidRDefault="007F37DB" w:rsidP="007F37DB">
      <w:pPr>
        <w:pStyle w:val="ListParagraph"/>
        <w:numPr>
          <w:ilvl w:val="0"/>
          <w:numId w:val="1"/>
        </w:numPr>
      </w:pPr>
      <w:r w:rsidRPr="0068537C">
        <w:rPr>
          <w:b/>
          <w:bCs/>
        </w:rPr>
        <w:t>Detention:</w:t>
      </w:r>
      <w:r w:rsidRPr="00256D54">
        <w:t xml:space="preserve"> Implementation of </w:t>
      </w:r>
      <w:r>
        <w:t xml:space="preserve">a </w:t>
      </w:r>
      <w:r w:rsidRPr="00256D54">
        <w:t xml:space="preserve">high-performance subsurface Wetland capturing 76 ha runoff </w:t>
      </w:r>
      <w:r>
        <w:t xml:space="preserve">in </w:t>
      </w:r>
      <w:proofErr w:type="spellStart"/>
      <w:r w:rsidRPr="00107800">
        <w:t>Mengjiawan</w:t>
      </w:r>
      <w:proofErr w:type="spellEnd"/>
      <w:r w:rsidRPr="00107800">
        <w:t xml:space="preserve"> Lake</w:t>
      </w:r>
      <w:r w:rsidRPr="00256D54">
        <w:t xml:space="preserve"> </w:t>
      </w:r>
      <w:r w:rsidRPr="003E47CC">
        <w:t xml:space="preserve">and 12 dual-purpose </w:t>
      </w:r>
      <w:r>
        <w:t xml:space="preserve">sponge city </w:t>
      </w:r>
      <w:r w:rsidRPr="003E47CC">
        <w:t xml:space="preserve">parks for ~450,000 m³ flood storage </w:t>
      </w:r>
      <w:r>
        <w:rPr>
          <w:rFonts w:hint="eastAsia"/>
        </w:rPr>
        <w:t>r</w:t>
      </w:r>
      <w:r w:rsidRPr="00051B6B">
        <w:t>etain</w:t>
      </w:r>
      <w:r>
        <w:rPr>
          <w:rFonts w:hint="eastAsia"/>
        </w:rPr>
        <w:t>ing</w:t>
      </w:r>
      <w:r w:rsidRPr="00051B6B">
        <w:t xml:space="preserve"> upland water in upland areas to reduce downstream burden</w:t>
      </w:r>
      <w:r w:rsidRPr="003E47CC">
        <w:t>.</w:t>
      </w:r>
      <w:r>
        <w:t xml:space="preserve"> These facilities </w:t>
      </w:r>
      <w:r w:rsidRPr="0068537C">
        <w:t>temporarily hold</w:t>
      </w:r>
      <w:r>
        <w:t xml:space="preserve"> </w:t>
      </w:r>
      <w:r w:rsidRPr="0068537C">
        <w:t>extreme runoff volumes for flood peak attenuation.</w:t>
      </w:r>
    </w:p>
    <w:p w14:paraId="4A86EB85" w14:textId="7136FD75" w:rsidR="007F37DB" w:rsidRPr="00256D54" w:rsidRDefault="007F37DB" w:rsidP="007F37DB">
      <w:pPr>
        <w:numPr>
          <w:ilvl w:val="0"/>
          <w:numId w:val="1"/>
        </w:numPr>
      </w:pPr>
      <w:r w:rsidRPr="00256D54">
        <w:rPr>
          <w:b/>
          <w:bCs/>
        </w:rPr>
        <w:t>Treatment</w:t>
      </w:r>
      <w:r w:rsidR="00107800" w:rsidRPr="00256D54">
        <w:rPr>
          <w:b/>
          <w:bCs/>
        </w:rPr>
        <w:t>:</w:t>
      </w:r>
      <w:r w:rsidR="00107800" w:rsidRPr="00256D54">
        <w:t xml:space="preserve"> Wetlands</w:t>
      </w:r>
      <w:r w:rsidRPr="00256D54">
        <w:t xml:space="preserve"> and parks are also key treatment stages, employing ecological processes to reduce pollutants (TSS, COD, NH3-N, TP) and improve water quality before eventual discharge.</w:t>
      </w:r>
    </w:p>
    <w:p w14:paraId="35061EEA" w14:textId="77777777" w:rsidR="007F37DB" w:rsidRPr="00256D54" w:rsidRDefault="007F37DB" w:rsidP="007F37DB">
      <w:pPr>
        <w:rPr>
          <w:b/>
          <w:bCs/>
        </w:rPr>
      </w:pPr>
      <w:r w:rsidRPr="00256D54">
        <w:rPr>
          <w:b/>
          <w:bCs/>
        </w:rPr>
        <w:t>2.</w:t>
      </w:r>
      <w:r>
        <w:rPr>
          <w:b/>
          <w:bCs/>
        </w:rPr>
        <w:t>2.3</w:t>
      </w:r>
      <w:r w:rsidRPr="00256D54">
        <w:rPr>
          <w:b/>
          <w:bCs/>
        </w:rPr>
        <w:t xml:space="preserve"> Critical Grey Infrastructure for Optimized Conveyance</w:t>
      </w:r>
    </w:p>
    <w:p w14:paraId="46DCC96E" w14:textId="77777777" w:rsidR="007F37DB" w:rsidRPr="00256D54" w:rsidRDefault="007F37DB" w:rsidP="007F37DB">
      <w:r w:rsidRPr="00256D54">
        <w:t xml:space="preserve">The grey system was simultaneously upgraded and integrated with green and blue components to optimize flow and </w:t>
      </w:r>
      <w:r>
        <w:t>reduce combined sewer overflow (CSO)</w:t>
      </w:r>
      <w:r w:rsidRPr="00256D54">
        <w:t>.</w:t>
      </w:r>
    </w:p>
    <w:p w14:paraId="1F28534F" w14:textId="189E809B" w:rsidR="007F37DB" w:rsidRPr="00256D54" w:rsidRDefault="007F37DB" w:rsidP="007F37DB">
      <w:pPr>
        <w:numPr>
          <w:ilvl w:val="0"/>
          <w:numId w:val="4"/>
        </w:numPr>
      </w:pPr>
      <w:r w:rsidRPr="00256D54">
        <w:rPr>
          <w:b/>
          <w:bCs/>
        </w:rPr>
        <w:t>Deep Tunnel Construction:</w:t>
      </w:r>
      <w:r w:rsidRPr="00256D54">
        <w:t xml:space="preserve"> A critical grey backbone was constructed: a 6.2 km long, 4-meter diameter deep tunnel (buried up to </w:t>
      </w:r>
      <w:r w:rsidR="00434E2E">
        <w:t>34</w:t>
      </w:r>
      <w:r w:rsidRPr="00256D54">
        <w:t xml:space="preserve"> m). This tunnel's unique design includes crossing the Yangtze River to intercept </w:t>
      </w:r>
      <w:r>
        <w:t xml:space="preserve">runoff for heritage areas and </w:t>
      </w:r>
      <w:r w:rsidRPr="00256D54">
        <w:t>CSOs from the core urban area.</w:t>
      </w:r>
    </w:p>
    <w:p w14:paraId="6910C913" w14:textId="77777777" w:rsidR="007F37DB" w:rsidRPr="00256D54" w:rsidRDefault="007F37DB" w:rsidP="007F37DB">
      <w:pPr>
        <w:numPr>
          <w:ilvl w:val="0"/>
          <w:numId w:val="4"/>
        </w:numPr>
      </w:pPr>
      <w:r w:rsidRPr="00256D54">
        <w:rPr>
          <w:b/>
          <w:bCs/>
        </w:rPr>
        <w:t>Pollution Conveyance:</w:t>
      </w:r>
      <w:r w:rsidRPr="00256D54">
        <w:t xml:space="preserve"> The tunnel's primary function is to efficiently convey intercepted runoffs and CSOs to terminal ecological oxidation ponds for centralized treatment, thereby eliminating chronic water quality degradation caused by sewer surcharge in the old drainage network.</w:t>
      </w:r>
    </w:p>
    <w:p w14:paraId="43FED3C4" w14:textId="77777777" w:rsidR="007F37DB" w:rsidRPr="00850E1F" w:rsidRDefault="007F37DB" w:rsidP="007F37DB">
      <w:pPr>
        <w:rPr>
          <w:b/>
          <w:bCs/>
        </w:rPr>
      </w:pPr>
      <w:r>
        <w:rPr>
          <w:b/>
          <w:bCs/>
        </w:rPr>
        <w:t>2</w:t>
      </w:r>
      <w:r w:rsidRPr="00850E1F">
        <w:rPr>
          <w:b/>
          <w:bCs/>
        </w:rPr>
        <w:t>.</w:t>
      </w:r>
      <w:r>
        <w:rPr>
          <w:b/>
          <w:bCs/>
        </w:rPr>
        <w:t>2.4</w:t>
      </w:r>
      <w:r w:rsidRPr="00850E1F">
        <w:rPr>
          <w:b/>
          <w:bCs/>
        </w:rPr>
        <w:t xml:space="preserve"> Hydrologic, Hydraulic, and Water-Quality Modeling</w:t>
      </w:r>
    </w:p>
    <w:p w14:paraId="220ED554" w14:textId="77777777" w:rsidR="007F37DB" w:rsidRPr="00850E1F" w:rsidRDefault="007F37DB" w:rsidP="007F37DB">
      <w:r w:rsidRPr="00850E1F">
        <w:lastRenderedPageBreak/>
        <w:t xml:space="preserve">A coupled modeling framework (HSPF for watershed hydrology, SWMM for urban drainage, HEC-RAS for river hydraulics, and EFDC for lake water quality) simulated the 139 km² basin, 660 km pipe network, and 65 km rivers/6.5 km² lakes. Models were calibrated with local data on event-mean concentrations and 1980–2014 rainfall records, targeting </w:t>
      </w:r>
      <w:r>
        <w:t xml:space="preserve">on 30-years storm event for flood mitigation and </w:t>
      </w:r>
      <w:r w:rsidRPr="00850E1F">
        <w:t xml:space="preserve">water-quality event for 75–80% annual runoff control. Pollutant load distributions and reductions were mapped </w:t>
      </w:r>
      <w:proofErr w:type="gramStart"/>
      <w:r w:rsidRPr="00850E1F">
        <w:t>per</w:t>
      </w:r>
      <w:proofErr w:type="gramEnd"/>
      <w:r w:rsidRPr="00850E1F">
        <w:t xml:space="preserve"> outfall. Scenarios evaluated source-process-system overlays, confirming 93% inundation reduction in</w:t>
      </w:r>
      <w:r>
        <w:t xml:space="preserve"> 47 retrofitting communities</w:t>
      </w:r>
      <w:r w:rsidRPr="00850E1F">
        <w:t xml:space="preserve">. </w:t>
      </w:r>
    </w:p>
    <w:p w14:paraId="2E1ACA2A" w14:textId="77777777" w:rsidR="007F37DB" w:rsidRPr="00256D54" w:rsidRDefault="007F37DB" w:rsidP="007F37DB">
      <w:pPr>
        <w:rPr>
          <w:b/>
          <w:bCs/>
        </w:rPr>
      </w:pPr>
      <w:r w:rsidRPr="00256D54">
        <w:rPr>
          <w:b/>
          <w:bCs/>
        </w:rPr>
        <w:t>2.</w:t>
      </w:r>
      <w:r>
        <w:rPr>
          <w:b/>
          <w:bCs/>
        </w:rPr>
        <w:t>2.5</w:t>
      </w:r>
      <w:r w:rsidRPr="00256D54">
        <w:rPr>
          <w:b/>
          <w:bCs/>
        </w:rPr>
        <w:t xml:space="preserve"> Monitoring and Validation (10-Year Retro-Study)</w:t>
      </w:r>
    </w:p>
    <w:p w14:paraId="54CA6E25" w14:textId="77777777" w:rsidR="007F37DB" w:rsidRPr="00256D54" w:rsidRDefault="007F37DB" w:rsidP="007F37DB">
      <w:r w:rsidRPr="00256D54">
        <w:t xml:space="preserve">The system's performance was validated through a </w:t>
      </w:r>
      <w:r w:rsidRPr="00256D54">
        <w:rPr>
          <w:b/>
          <w:bCs/>
        </w:rPr>
        <w:t>10-year retrospective study (2015–2025)</w:t>
      </w:r>
      <w:r w:rsidRPr="00256D54">
        <w:t xml:space="preserve"> using real-world observations and monitoring data:</w:t>
      </w:r>
    </w:p>
    <w:p w14:paraId="74F066D1" w14:textId="77777777" w:rsidR="007F37DB" w:rsidRPr="00256D54" w:rsidRDefault="007F37DB" w:rsidP="007F37DB">
      <w:pPr>
        <w:numPr>
          <w:ilvl w:val="0"/>
          <w:numId w:val="5"/>
        </w:numPr>
      </w:pPr>
      <w:r w:rsidRPr="00256D54">
        <w:rPr>
          <w:b/>
          <w:bCs/>
        </w:rPr>
        <w:t>Hydrological Monitoring:</w:t>
      </w:r>
      <w:r w:rsidRPr="00256D54">
        <w:t xml:space="preserve"> Continuous data on rainfall intensity, runoff volume, and peak flow attenuation were collected to verify the system's capacity to handle rainfall depths associated with the 30-year storm and confirm the elimination of waterlogging.</w:t>
      </w:r>
    </w:p>
    <w:p w14:paraId="45A556E9" w14:textId="77777777" w:rsidR="007F37DB" w:rsidRPr="00256D54" w:rsidRDefault="007F37DB" w:rsidP="007F37DB">
      <w:pPr>
        <w:numPr>
          <w:ilvl w:val="0"/>
          <w:numId w:val="5"/>
        </w:numPr>
      </w:pPr>
      <w:r w:rsidRPr="00256D54">
        <w:rPr>
          <w:b/>
          <w:bCs/>
        </w:rPr>
        <w:t>Water Quality Assessment:</w:t>
      </w:r>
      <w:r w:rsidRPr="00256D54">
        <w:t xml:space="preserve"> Regular sampling and analysis of receiving water bodies were conducted to track pollutant reductions (TSS, COD, NH3-N, TP) and verify the achievement of the Class III water quality standard.</w:t>
      </w:r>
    </w:p>
    <w:p w14:paraId="73041390" w14:textId="77777777" w:rsidR="007F37DB" w:rsidRPr="00256D54" w:rsidRDefault="007F37DB" w:rsidP="007F37DB">
      <w:pPr>
        <w:numPr>
          <w:ilvl w:val="0"/>
          <w:numId w:val="5"/>
        </w:numPr>
      </w:pPr>
      <w:r w:rsidRPr="00256D54">
        <w:rPr>
          <w:b/>
          <w:bCs/>
        </w:rPr>
        <w:t>Performance Metrics:</w:t>
      </w:r>
      <w:r w:rsidRPr="00256D54">
        <w:t xml:space="preserve"> The study focused on verifiable metrics, including the number of flood events mitigated, percentage of annual runoff captured, and pre- and post-retrofit pollutant loads.</w:t>
      </w:r>
    </w:p>
    <w:p w14:paraId="2B9F6D87" w14:textId="7B338BBD" w:rsidR="003E72A2" w:rsidRPr="00F35A71" w:rsidRDefault="00F551F9" w:rsidP="003E72A2">
      <w:pPr>
        <w:rPr>
          <w:rFonts w:ascii="Arial" w:hAnsi="Arial" w:cs="Arial" w:hint="eastAsia"/>
          <w:b/>
          <w:sz w:val="24"/>
          <w:szCs w:val="24"/>
        </w:rPr>
      </w:pPr>
      <w:r>
        <w:rPr>
          <w:rFonts w:ascii="Arial" w:hAnsi="Arial" w:cs="Arial"/>
          <w:b/>
          <w:sz w:val="24"/>
          <w:szCs w:val="24"/>
        </w:rPr>
        <w:t>3</w:t>
      </w:r>
      <w:r w:rsidR="003E72A2" w:rsidRPr="00F35A71">
        <w:rPr>
          <w:rFonts w:ascii="Arial" w:hAnsi="Arial" w:cs="Arial"/>
          <w:b/>
          <w:sz w:val="24"/>
          <w:szCs w:val="24"/>
        </w:rPr>
        <w:t xml:space="preserve">. </w:t>
      </w:r>
      <w:r w:rsidR="003E72A2">
        <w:rPr>
          <w:rFonts w:ascii="Arial" w:hAnsi="Arial" w:cs="Arial"/>
          <w:b/>
          <w:sz w:val="24"/>
          <w:szCs w:val="24"/>
        </w:rPr>
        <w:t>RESULT</w:t>
      </w:r>
      <w:r w:rsidR="002D57D8">
        <w:rPr>
          <w:rFonts w:ascii="Arial" w:hAnsi="Arial" w:cs="Arial" w:hint="eastAsia"/>
          <w:b/>
          <w:sz w:val="24"/>
          <w:szCs w:val="24"/>
        </w:rPr>
        <w:t xml:space="preserve"> AND DISCUSSION</w:t>
      </w:r>
    </w:p>
    <w:p w14:paraId="1E929716" w14:textId="77777777" w:rsidR="002D57D8" w:rsidRPr="002B376B" w:rsidRDefault="002D57D8" w:rsidP="002D57D8">
      <w:r w:rsidRPr="002B376B">
        <w:t>The long-term performance data, gathered over a 10-year monitoring period (2015–2025), confirm that the integrated Green-Blue-Grey (GBG) system effectively achieved the ambitious mandates set for the Zhenjiang Sponge City pilot.</w:t>
      </w:r>
    </w:p>
    <w:p w14:paraId="78BAEDDF" w14:textId="77777777" w:rsidR="002D57D8" w:rsidRPr="002B376B" w:rsidRDefault="002D57D8" w:rsidP="002D57D8">
      <w:pPr>
        <w:rPr>
          <w:b/>
          <w:bCs/>
        </w:rPr>
      </w:pPr>
      <w:r w:rsidRPr="002B376B">
        <w:rPr>
          <w:b/>
          <w:bCs/>
        </w:rPr>
        <w:t>3.1 Longitudinal Hydrological Efficacy and Flood Mitigation</w:t>
      </w:r>
    </w:p>
    <w:p w14:paraId="36447DC5" w14:textId="7BB396F9" w:rsidR="002D57D8" w:rsidRPr="006D5EB3" w:rsidRDefault="002D57D8" w:rsidP="002D57D8">
      <w:r w:rsidRPr="006D5EB3">
        <w:t>The verifiable long-term resilience of the integrated green</w:t>
      </w:r>
      <w:r w:rsidR="00107800">
        <w:rPr>
          <w:rFonts w:hint="eastAsia"/>
        </w:rPr>
        <w:t>-</w:t>
      </w:r>
      <w:r w:rsidRPr="006D5EB3">
        <w:t>blue</w:t>
      </w:r>
      <w:r w:rsidR="00107800">
        <w:rPr>
          <w:rFonts w:hint="eastAsia"/>
        </w:rPr>
        <w:t>-</w:t>
      </w:r>
      <w:r w:rsidRPr="006D5EB3">
        <w:t xml:space="preserve">grey system represents the most significant finding of this decade-long study. Prior to retrofitting, intense rainfall events routinely caused severe waterlogging: for example, the 27 May 2013 storm (85 mm in 24 h) produced ponding depths of 200–500 mm across low-lying neighborhoods. In contrast, during the entire 10-year post-implementation monitoring period (2015–2025), all 48 previously chronic flood hotspots recorded </w:t>
      </w:r>
      <w:r w:rsidR="000F75A9" w:rsidRPr="000F75A9">
        <w:t>no waterlogging incidents</w:t>
      </w:r>
      <w:r w:rsidRPr="006D5EB3">
        <w:t xml:space="preserve"> under recurrent heavy rainfall</w:t>
      </w:r>
      <w:r>
        <w:rPr>
          <w:rFonts w:hint="eastAsia"/>
        </w:rPr>
        <w:t xml:space="preserve"> (Figure 1)</w:t>
      </w:r>
      <w:r w:rsidRPr="006D5EB3">
        <w:t>.</w:t>
      </w:r>
    </w:p>
    <w:p w14:paraId="7C99CED9" w14:textId="77777777" w:rsidR="002D57D8" w:rsidRPr="006D5EB3" w:rsidRDefault="002D57D8" w:rsidP="002D57D8">
      <w:r w:rsidRPr="006D5EB3">
        <w:rPr>
          <w:b/>
          <w:bCs/>
        </w:rPr>
        <w:t>Source-Control Performance:</w:t>
      </w:r>
      <w:r w:rsidRPr="006D5EB3">
        <w:t xml:space="preserve"> High-frequency monitoring at 40 automated stations confirmed the exceptional efficacy of the distributed Green Infrastructure (GI) components. On-site rainfall retention exceeded 99 % during multiple high-intensity events (&gt;50 mm/h), with bioretention cells, permeable pavements, and Active Bio-retention Systems effectively attenuating peak flows at the source and preventing surface runoff from entering the grey conveyance system in all but the most extreme tails of recorded storms.</w:t>
      </w:r>
    </w:p>
    <w:p w14:paraId="33A14455" w14:textId="28505079" w:rsidR="002D57D8" w:rsidRPr="006D5EB3" w:rsidRDefault="002D57D8" w:rsidP="002D57D8">
      <w:r w:rsidRPr="006D5EB3">
        <w:t>This extraordinary performance was conclusively demonstrated during Typhoon In-Fa (25</w:t>
      </w:r>
      <w:r w:rsidR="00646453">
        <w:t>-</w:t>
      </w:r>
      <w:r w:rsidRPr="006D5EB3">
        <w:t xml:space="preserve">28 July 2021), the most severe event since project completion. In-Fa delivered 312 mm of cumulative rainfall over 72 h </w:t>
      </w:r>
      <w:r w:rsidRPr="006D5EB3">
        <w:lastRenderedPageBreak/>
        <w:t>in central Zhenjiang (exceeding a 50-year return period at several gauges) with a peak 6-hour intensity of 152 mm</w:t>
      </w:r>
      <w:r w:rsidR="00646453">
        <w:t xml:space="preserve"> - </w:t>
      </w:r>
      <w:r w:rsidRPr="006D5EB3">
        <w:t xml:space="preserve">far surpassing the original 30-year design storm of 256 mm/24 h. Despite these extreme conditions, no surface ponding lasting longer than 15 minutes occurred in any retrofitted district, and all 36 officially designated historical inundation points remained completely dry </w:t>
      </w:r>
      <w:r>
        <w:rPr>
          <w:rFonts w:hint="eastAsia"/>
        </w:rPr>
        <w:t>including</w:t>
      </w:r>
      <w:r w:rsidRPr="006D5EB3">
        <w:t xml:space="preserve"> </w:t>
      </w:r>
      <w:r>
        <w:rPr>
          <w:rFonts w:hint="eastAsia"/>
        </w:rPr>
        <w:t>t</w:t>
      </w:r>
      <w:r w:rsidRPr="006D5EB3">
        <w:t xml:space="preserve">he previously most vulnerable </w:t>
      </w:r>
      <w:proofErr w:type="spellStart"/>
      <w:r w:rsidRPr="006D5EB3">
        <w:t>Jiangbin</w:t>
      </w:r>
      <w:proofErr w:type="spellEnd"/>
      <w:r w:rsidRPr="006D5EB3">
        <w:t xml:space="preserve"> New Village</w:t>
      </w:r>
      <w:r w:rsidR="00107800">
        <w:rPr>
          <w:rFonts w:hint="eastAsia"/>
        </w:rPr>
        <w:t xml:space="preserve"> - </w:t>
      </w:r>
      <w:r w:rsidRPr="006D5EB3">
        <w:t>one of China’s most notorious pre-2015 flooding locations</w:t>
      </w:r>
      <w:r w:rsidR="00107800">
        <w:rPr>
          <w:rFonts w:hint="eastAsia"/>
        </w:rPr>
        <w:t>-</w:t>
      </w:r>
      <w:r w:rsidRPr="006D5EB3">
        <w:t xml:space="preserve">experienced </w:t>
      </w:r>
      <w:r w:rsidR="002241BA" w:rsidRPr="002241BA">
        <w:t>experienced no lasting surface water accumulation</w:t>
      </w:r>
      <w:r w:rsidRPr="006D5EB3">
        <w:t xml:space="preserve"> throughout the typhoon</w:t>
      </w:r>
      <w:r>
        <w:rPr>
          <w:rFonts w:hint="eastAsia"/>
        </w:rPr>
        <w:t xml:space="preserve"> (Figure 2)</w:t>
      </w:r>
      <w:r w:rsidRPr="006D5EB3">
        <w:t>, providing definitive field validation that the hybrid system substantially exceeds the targeted 30-year resilience standard under real-world extreme conditions.</w:t>
      </w:r>
    </w:p>
    <w:p w14:paraId="4CC74120" w14:textId="77777777" w:rsidR="002D57D8" w:rsidRPr="002B376B" w:rsidRDefault="002D57D8" w:rsidP="002D57D8">
      <w:pPr>
        <w:rPr>
          <w:b/>
          <w:bCs/>
        </w:rPr>
      </w:pPr>
      <w:r w:rsidRPr="002B376B">
        <w:rPr>
          <w:b/>
          <w:bCs/>
        </w:rPr>
        <w:t>3.2 Water Quality Improvement and Pollutant Reduction</w:t>
      </w:r>
    </w:p>
    <w:p w14:paraId="131A5713" w14:textId="44AC912F" w:rsidR="002D57D8" w:rsidRPr="006D5EB3" w:rsidRDefault="002D57D8" w:rsidP="002D57D8">
      <w:r w:rsidRPr="006D5EB3">
        <w:t xml:space="preserve">The integrated </w:t>
      </w:r>
      <w:r>
        <w:rPr>
          <w:rFonts w:hint="eastAsia"/>
        </w:rPr>
        <w:t>GBG</w:t>
      </w:r>
      <w:r w:rsidRPr="006D5EB3">
        <w:t xml:space="preserve"> system produced rapid and sustained restoration of receiving water bodies. Two officially designated black-odorous watercourses (Yiye River and Hongqiao Port</w:t>
      </w:r>
      <w:r>
        <w:rPr>
          <w:rFonts w:hint="eastAsia"/>
        </w:rPr>
        <w:t xml:space="preserve"> River</w:t>
      </w:r>
      <w:r w:rsidRPr="006D5EB3">
        <w:t xml:space="preserve">) were eliminated within 18 months of completion, with no recurrence observed over the subsequent </w:t>
      </w:r>
      <w:r w:rsidR="00646453">
        <w:t>years</w:t>
      </w:r>
      <w:r w:rsidRPr="006D5EB3">
        <w:t xml:space="preserve"> (2019</w:t>
      </w:r>
      <w:r w:rsidR="00646453">
        <w:t>-</w:t>
      </w:r>
      <w:r w:rsidRPr="006D5EB3">
        <w:t>2025). Continuous monitoring at 12 in-lake and 28 riverine stations confirmed that Jinshan Lake and the three main urban rivers (</w:t>
      </w:r>
      <w:proofErr w:type="spellStart"/>
      <w:r w:rsidRPr="006D5EB3">
        <w:t>Guyun</w:t>
      </w:r>
      <w:proofErr w:type="spellEnd"/>
      <w:r w:rsidRPr="006D5EB3">
        <w:t xml:space="preserve"> River, </w:t>
      </w:r>
      <w:proofErr w:type="spellStart"/>
      <w:r w:rsidRPr="006D5EB3">
        <w:t>Yunliang</w:t>
      </w:r>
      <w:proofErr w:type="spellEnd"/>
      <w:r w:rsidRPr="006D5EB3">
        <w:t xml:space="preserve"> River, and Hongqiao Port) consistently achieved or exceeded China’s Surface Water Quality Standard Class III (equivalent to moderate ecological status under the EU Water Framework Directive). The overall compliance rate across all monitored water bodies reached 92.3%.</w:t>
      </w:r>
    </w:p>
    <w:p w14:paraId="748B1D56" w14:textId="77777777" w:rsidR="002D57D8" w:rsidRPr="006D5EB3" w:rsidRDefault="002D57D8" w:rsidP="002D57D8">
      <w:r w:rsidRPr="006D5EB3">
        <w:t>Quantified annual pollutant load reductions to receiving waters, calculated from flow-proportional sampling at 60 major outfalls and terminal treatment facilities, were:</w:t>
      </w:r>
    </w:p>
    <w:p w14:paraId="17F1573E" w14:textId="77777777" w:rsidR="002D57D8" w:rsidRPr="006D5EB3" w:rsidRDefault="002D57D8" w:rsidP="002D57D8">
      <w:pPr>
        <w:numPr>
          <w:ilvl w:val="0"/>
          <w:numId w:val="6"/>
        </w:numPr>
      </w:pPr>
      <w:r w:rsidRPr="006D5EB3">
        <w:t>COD: 77% reduction (~6,300 t/a removed)</w:t>
      </w:r>
    </w:p>
    <w:p w14:paraId="20ACA7B0" w14:textId="77777777" w:rsidR="002D57D8" w:rsidRPr="006D5EB3" w:rsidRDefault="002D57D8" w:rsidP="002D57D8">
      <w:pPr>
        <w:numPr>
          <w:ilvl w:val="0"/>
          <w:numId w:val="6"/>
        </w:numPr>
      </w:pPr>
      <w:r w:rsidRPr="006D5EB3">
        <w:t>NH₃-N: 62% reduction (~50 t/a removed)</w:t>
      </w:r>
    </w:p>
    <w:p w14:paraId="1AA9CD54" w14:textId="77777777" w:rsidR="002D57D8" w:rsidRPr="006D5EB3" w:rsidRDefault="002D57D8" w:rsidP="002D57D8">
      <w:pPr>
        <w:numPr>
          <w:ilvl w:val="0"/>
          <w:numId w:val="6"/>
        </w:numPr>
      </w:pPr>
      <w:r w:rsidRPr="006D5EB3">
        <w:t>Total Phosphorus: 82% reduction (~23 t/a removed)</w:t>
      </w:r>
    </w:p>
    <w:p w14:paraId="7F36C071" w14:textId="77777777" w:rsidR="002D57D8" w:rsidRPr="006D5EB3" w:rsidRDefault="002D57D8" w:rsidP="002D57D8">
      <w:pPr>
        <w:numPr>
          <w:ilvl w:val="0"/>
          <w:numId w:val="6"/>
        </w:numPr>
      </w:pPr>
      <w:r w:rsidRPr="006D5EB3">
        <w:t>Total Suspended Solids: &gt;85% reduction during both wet-weather and dry-weather flows</w:t>
      </w:r>
    </w:p>
    <w:p w14:paraId="7281A057" w14:textId="77777777" w:rsidR="002D57D8" w:rsidRDefault="002D57D8" w:rsidP="002D57D8">
      <w:r w:rsidRPr="006D5EB3">
        <w:t>These reductions were sustained even during extreme events, including Typhoon In-Fa (2021), demonstrating that the hybrid infrastructure maintained high treatment efficiency under peak hydraulic loading.</w:t>
      </w:r>
    </w:p>
    <w:p w14:paraId="71F11C05" w14:textId="77777777" w:rsidR="002D57D8" w:rsidRPr="00A852C2" w:rsidRDefault="002D57D8" w:rsidP="002D57D8">
      <w:pPr>
        <w:rPr>
          <w:b/>
          <w:bCs/>
        </w:rPr>
      </w:pPr>
      <w:r>
        <w:rPr>
          <w:b/>
          <w:bCs/>
        </w:rPr>
        <w:t>3</w:t>
      </w:r>
      <w:r w:rsidRPr="00A852C2">
        <w:rPr>
          <w:b/>
          <w:bCs/>
        </w:rPr>
        <w:t>.3 System Resilience, Scalability, and Global Relevance</w:t>
      </w:r>
    </w:p>
    <w:p w14:paraId="49CCD3BE" w14:textId="1B4BB554" w:rsidR="002D57D8" w:rsidRPr="00A852C2" w:rsidRDefault="002D57D8" w:rsidP="002D57D8">
      <w:r w:rsidRPr="00A852C2">
        <w:t xml:space="preserve">Distributed green </w:t>
      </w:r>
      <w:r>
        <w:t xml:space="preserve">stormwater </w:t>
      </w:r>
      <w:r w:rsidRPr="00A852C2">
        <w:t>infrastructure (G</w:t>
      </w:r>
      <w:r>
        <w:t>S</w:t>
      </w:r>
      <w:r w:rsidRPr="00A852C2">
        <w:t xml:space="preserve">I) and blue </w:t>
      </w:r>
      <w:r>
        <w:t>infrastructures</w:t>
      </w:r>
      <w:r w:rsidRPr="00A852C2">
        <w:t xml:space="preserve"> captured and treated an average of 76.06% of annual runoff volume across the 29 km² pilot area, with onsite retention exceeding 99% for most individual rainfall events</w:t>
      </w:r>
      <w:r>
        <w:t xml:space="preserve"> in more than 40 communities retrofitted</w:t>
      </w:r>
      <w:r w:rsidRPr="00A852C2">
        <w:t xml:space="preserve">, including bursts up to </w:t>
      </w:r>
      <w:r>
        <w:t>76.2</w:t>
      </w:r>
      <w:r w:rsidRPr="00A852C2">
        <w:t xml:space="preserve"> mm/h. The entire pilot area has met or exceeded all 16 national Sponge City performance indicators for over ten years, with </w:t>
      </w:r>
      <w:r w:rsidR="000F75A9" w:rsidRPr="000F75A9">
        <w:t>no waterlogging incidents</w:t>
      </w:r>
      <w:r w:rsidRPr="00A852C2">
        <w:t xml:space="preserve"> recorded at 48 historical hot spots including during Typhoon In-Fa (312 mm/72 h, &gt;50-year return period).</w:t>
      </w:r>
    </w:p>
    <w:p w14:paraId="51E3F777" w14:textId="25CDF433" w:rsidR="002D57D8" w:rsidRDefault="002D57D8" w:rsidP="002D57D8">
      <w:r w:rsidRPr="00A852C2">
        <w:t>The Zhenjiang case provides one of the world’s most rigorously documented examples of full-scale, decade-long success of hybrid green</w:t>
      </w:r>
      <w:r w:rsidR="00107800">
        <w:rPr>
          <w:rFonts w:hint="eastAsia"/>
        </w:rPr>
        <w:t>-</w:t>
      </w:r>
      <w:r w:rsidRPr="00A852C2">
        <w:t>blue</w:t>
      </w:r>
      <w:r w:rsidR="00107800">
        <w:rPr>
          <w:rFonts w:hint="eastAsia"/>
        </w:rPr>
        <w:t>-</w:t>
      </w:r>
      <w:r w:rsidRPr="00A852C2">
        <w:t xml:space="preserve">grey infrastructure in a high-density, legacy urban environment. Its technical framework, institutional mechanisms, and community co-governance model have been officially recognized by the Chinese Ministry of Housing and Urban-Rural Development as the transferable “Zhenjiang Sponge City Model,” offering a directly replicable blueprint for cities worldwide </w:t>
      </w:r>
      <w:r w:rsidRPr="00A852C2">
        <w:lastRenderedPageBreak/>
        <w:t>facing intensifying pluvial flooding, combined-sewer overflows, and urban water-quality degradation under climate change.</w:t>
      </w:r>
    </w:p>
    <w:p w14:paraId="25862175" w14:textId="409C7443" w:rsidR="00C04928" w:rsidRPr="00CD3A32" w:rsidRDefault="00791ADE" w:rsidP="00791ADE">
      <w:pPr>
        <w:rPr>
          <w:rFonts w:ascii="Arial" w:hAnsi="Arial" w:cs="Arial"/>
          <w:sz w:val="20"/>
          <w:szCs w:val="20"/>
        </w:rPr>
      </w:pPr>
      <w:r w:rsidRPr="00CD3A32">
        <w:rPr>
          <w:rFonts w:ascii="Arial" w:hAnsi="Arial" w:cs="Arial"/>
          <w:sz w:val="20"/>
          <w:szCs w:val="20"/>
        </w:rPr>
        <w:t>.</w:t>
      </w:r>
    </w:p>
    <w:p w14:paraId="307FFE3A" w14:textId="7AC8D4F5" w:rsidR="00C5266D" w:rsidRPr="00850198" w:rsidRDefault="00C5266D" w:rsidP="00781235">
      <w:pPr>
        <w:jc w:val="center"/>
        <w:rPr>
          <w:rFonts w:ascii="Arial" w:hAnsi="Arial" w:cs="Arial"/>
          <w:b/>
          <w:sz w:val="28"/>
          <w:szCs w:val="28"/>
        </w:rPr>
      </w:pPr>
      <w:r w:rsidRPr="00850198">
        <w:rPr>
          <w:rFonts w:ascii="Arial" w:hAnsi="Arial" w:cs="Arial"/>
          <w:b/>
          <w:sz w:val="28"/>
          <w:szCs w:val="28"/>
        </w:rPr>
        <w:t>R</w:t>
      </w:r>
      <w:r w:rsidR="000C5EF8">
        <w:rPr>
          <w:rFonts w:ascii="Arial" w:hAnsi="Arial" w:cs="Arial"/>
          <w:b/>
          <w:sz w:val="28"/>
          <w:szCs w:val="28"/>
        </w:rPr>
        <w:t>EFERENCES</w:t>
      </w:r>
    </w:p>
    <w:p w14:paraId="60AC31F0" w14:textId="443673A5" w:rsidR="00EB6627" w:rsidRPr="00CD3A32" w:rsidRDefault="00035559" w:rsidP="00084E69">
      <w:pPr>
        <w:rPr>
          <w:rFonts w:ascii="Arial" w:hAnsi="Arial" w:cs="Arial"/>
          <w:sz w:val="18"/>
          <w:szCs w:val="18"/>
        </w:rPr>
      </w:pPr>
      <w:r w:rsidRPr="00035559">
        <w:rPr>
          <w:rFonts w:ascii="Arial" w:hAnsi="Arial" w:cs="Arial"/>
          <w:sz w:val="18"/>
          <w:szCs w:val="18"/>
        </w:rPr>
        <w:t xml:space="preserve">Ma, Q., et al. "Quantifying Spatiotemporal Patterns of Urban Impervious Surfaces in China: An Improved Assessment Using Nighttime Light Data." </w:t>
      </w:r>
      <w:r w:rsidRPr="00035559">
        <w:rPr>
          <w:rFonts w:ascii="Arial" w:hAnsi="Arial" w:cs="Arial"/>
          <w:i/>
          <w:iCs/>
          <w:sz w:val="18"/>
          <w:szCs w:val="18"/>
        </w:rPr>
        <w:t>Landscape and Urban Planning</w:t>
      </w:r>
      <w:r w:rsidRPr="00035559">
        <w:rPr>
          <w:rFonts w:ascii="Arial" w:hAnsi="Arial" w:cs="Arial"/>
          <w:sz w:val="18"/>
          <w:szCs w:val="18"/>
        </w:rPr>
        <w:t xml:space="preserve"> 130 (2014): 36–49</w:t>
      </w:r>
      <w:r w:rsidR="00894E66" w:rsidRPr="00CD3A32">
        <w:rPr>
          <w:rFonts w:ascii="Arial" w:hAnsi="Arial" w:cs="Arial"/>
          <w:sz w:val="18"/>
          <w:szCs w:val="18"/>
        </w:rPr>
        <w:t>.</w:t>
      </w:r>
    </w:p>
    <w:p w14:paraId="4EE31C31" w14:textId="4C49487A" w:rsidR="00035559" w:rsidRPr="00035559" w:rsidRDefault="00035559" w:rsidP="00035559">
      <w:pPr>
        <w:rPr>
          <w:rFonts w:ascii="Arial" w:hAnsi="Arial" w:cs="Arial"/>
          <w:sz w:val="18"/>
          <w:szCs w:val="18"/>
        </w:rPr>
      </w:pPr>
      <w:r w:rsidRPr="00035559">
        <w:rPr>
          <w:rFonts w:ascii="Arial" w:hAnsi="Arial" w:cs="Arial"/>
          <w:sz w:val="18"/>
          <w:szCs w:val="18"/>
        </w:rPr>
        <w:t>“Performance verification of integrated green</w:t>
      </w:r>
      <w:r>
        <w:rPr>
          <w:rFonts w:ascii="Arial" w:hAnsi="Arial" w:cs="Arial" w:hint="eastAsia"/>
          <w:sz w:val="18"/>
          <w:szCs w:val="18"/>
        </w:rPr>
        <w:t>-</w:t>
      </w:r>
      <w:r w:rsidRPr="00035559">
        <w:rPr>
          <w:rFonts w:ascii="Arial" w:hAnsi="Arial" w:cs="Arial"/>
          <w:sz w:val="18"/>
          <w:szCs w:val="18"/>
        </w:rPr>
        <w:t>blue</w:t>
      </w:r>
      <w:r>
        <w:rPr>
          <w:rFonts w:ascii="Arial" w:hAnsi="Arial" w:cs="Arial" w:hint="eastAsia"/>
          <w:sz w:val="18"/>
          <w:szCs w:val="18"/>
        </w:rPr>
        <w:t>-</w:t>
      </w:r>
      <w:r w:rsidRPr="00035559">
        <w:rPr>
          <w:rFonts w:ascii="Arial" w:hAnsi="Arial" w:cs="Arial"/>
          <w:sz w:val="18"/>
          <w:szCs w:val="18"/>
        </w:rPr>
        <w:t>grey infrastructure during Typhoon In-Fa: A decade-long case study from Zhenjiang Sponge City pilot, China.” Proceedings of the 14th International Conference on Urban Drainage (ICUD 2021), Melbourne, Australia (online), 2021.</w:t>
      </w:r>
    </w:p>
    <w:p w14:paraId="1D570DFF" w14:textId="77777777" w:rsidR="009957DA" w:rsidRPr="009957DA" w:rsidRDefault="009957DA" w:rsidP="009957DA">
      <w:pPr>
        <w:rPr>
          <w:rFonts w:ascii="Arial" w:hAnsi="Arial" w:cs="Arial"/>
          <w:sz w:val="18"/>
          <w:szCs w:val="18"/>
        </w:rPr>
      </w:pPr>
      <w:r w:rsidRPr="009957DA">
        <w:rPr>
          <w:rFonts w:ascii="Arial" w:hAnsi="Arial" w:cs="Arial"/>
          <w:sz w:val="18"/>
          <w:szCs w:val="18"/>
        </w:rPr>
        <w:t>海绵城市建设国家试点城市绩效评价结果通报</w:t>
      </w:r>
      <w:r w:rsidRPr="009957DA">
        <w:rPr>
          <w:rFonts w:ascii="Arial" w:hAnsi="Arial" w:cs="Arial"/>
          <w:sz w:val="18"/>
          <w:szCs w:val="18"/>
        </w:rPr>
        <w:t xml:space="preserve"> [Announcement of Performance Evaluation Results of National Sponge City Pilot Cities]. MOHURD Official Document [2019] No. 127, Beijing.</w:t>
      </w:r>
    </w:p>
    <w:p w14:paraId="7F2FBED5" w14:textId="1FDCE237" w:rsidR="00ED2431" w:rsidRDefault="009F26D3" w:rsidP="009F26D3">
      <w:pPr>
        <w:rPr>
          <w:rFonts w:ascii="Arial" w:hAnsi="Arial" w:cs="Arial"/>
          <w:sz w:val="18"/>
          <w:szCs w:val="18"/>
        </w:rPr>
      </w:pPr>
      <w:bookmarkStart w:id="0" w:name="_Hlk531334031"/>
      <w:r w:rsidRPr="00CD3A32">
        <w:rPr>
          <w:rFonts w:ascii="Arial" w:hAnsi="Arial" w:cs="Arial"/>
          <w:sz w:val="18"/>
          <w:szCs w:val="18"/>
        </w:rPr>
        <w:t xml:space="preserve">Sally D. L. (2017). </w:t>
      </w:r>
      <w:bookmarkEnd w:id="0"/>
      <w:r w:rsidRPr="00CD3A32">
        <w:rPr>
          <w:rFonts w:ascii="Arial" w:hAnsi="Arial" w:cs="Arial"/>
          <w:i/>
          <w:sz w:val="18"/>
          <w:szCs w:val="18"/>
        </w:rPr>
        <w:t>Nutrient Leaching When Soil Is Part of Plant Growth Media</w:t>
      </w:r>
      <w:r w:rsidRPr="00CD3A32">
        <w:rPr>
          <w:rFonts w:ascii="Arial" w:hAnsi="Arial" w:cs="Arial"/>
          <w:sz w:val="18"/>
          <w:szCs w:val="18"/>
        </w:rPr>
        <w:t>. Water. 9, 501.</w:t>
      </w:r>
    </w:p>
    <w:p w14:paraId="6C34B44A" w14:textId="77777777" w:rsidR="009957DA" w:rsidRPr="009957DA" w:rsidRDefault="009957DA" w:rsidP="009957DA">
      <w:pPr>
        <w:rPr>
          <w:rFonts w:ascii="Arial" w:hAnsi="Arial" w:cs="Arial"/>
          <w:sz w:val="18"/>
          <w:szCs w:val="18"/>
        </w:rPr>
      </w:pPr>
      <w:r w:rsidRPr="009957DA">
        <w:rPr>
          <w:rFonts w:ascii="Arial" w:hAnsi="Arial" w:cs="Arial"/>
          <w:sz w:val="18"/>
          <w:szCs w:val="18"/>
        </w:rPr>
        <w:t>She, N., Xie, Y., &amp; Li, D. (2021). Reflections and Suggestions on China’s Sponge City Construction. Landscape Architecture Frontiers, 9(4), 82–91. https://doi.org/10.15302/J-LAF-1-030028</w:t>
      </w:r>
    </w:p>
    <w:p w14:paraId="333F7DC2" w14:textId="6F183BCC" w:rsidR="009957DA" w:rsidRPr="00CD3A32" w:rsidRDefault="006107F0" w:rsidP="009F26D3">
      <w:pPr>
        <w:rPr>
          <w:rFonts w:ascii="Arial" w:hAnsi="Arial" w:cs="Arial"/>
          <w:sz w:val="18"/>
          <w:szCs w:val="18"/>
        </w:rPr>
      </w:pPr>
      <w:r>
        <w:rPr>
          <w:rFonts w:ascii="Arial" w:hAnsi="Arial" w:cs="Arial"/>
          <w:noProof/>
          <w:sz w:val="18"/>
          <w:szCs w:val="18"/>
        </w:rPr>
        <w:drawing>
          <wp:inline distT="0" distB="0" distL="0" distR="0" wp14:anchorId="7D842A20" wp14:editId="77FAE460">
            <wp:extent cx="5934075" cy="3467100"/>
            <wp:effectExtent l="0" t="0" r="9525" b="0"/>
            <wp:docPr id="3305576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4075" cy="3467100"/>
                    </a:xfrm>
                    <a:prstGeom prst="rect">
                      <a:avLst/>
                    </a:prstGeom>
                    <a:noFill/>
                    <a:ln>
                      <a:noFill/>
                    </a:ln>
                  </pic:spPr>
                </pic:pic>
              </a:graphicData>
            </a:graphic>
          </wp:inline>
        </w:drawing>
      </w:r>
    </w:p>
    <w:p w14:paraId="67C3D704" w14:textId="6762BD63" w:rsidR="002D0CA9" w:rsidRDefault="006107F0" w:rsidP="00EB1F3C">
      <w:pPr>
        <w:jc w:val="center"/>
        <w:rPr>
          <w:rFonts w:ascii="Arial" w:hAnsi="Arial" w:cs="Arial"/>
          <w:noProof/>
          <w:sz w:val="20"/>
          <w:szCs w:val="20"/>
        </w:rPr>
      </w:pPr>
      <w:r>
        <w:rPr>
          <w:rFonts w:ascii="Arial" w:hAnsi="Arial" w:cs="Arial"/>
          <w:noProof/>
          <w:sz w:val="20"/>
          <w:szCs w:val="20"/>
        </w:rPr>
        <w:t>Figure 1. Comparisons of the Sponge City retrofit before and after heavy storm events</w:t>
      </w:r>
    </w:p>
    <w:p w14:paraId="62733C3F" w14:textId="274B5917" w:rsidR="00646453" w:rsidRDefault="003D13B3" w:rsidP="00EB1F3C">
      <w:pPr>
        <w:jc w:val="center"/>
        <w:rPr>
          <w:rFonts w:ascii="Arial" w:hAnsi="Arial" w:cs="Arial"/>
          <w:noProof/>
          <w:sz w:val="20"/>
          <w:szCs w:val="20"/>
        </w:rPr>
      </w:pPr>
      <w:r>
        <w:rPr>
          <w:rFonts w:ascii="Arial" w:hAnsi="Arial" w:cs="Arial"/>
          <w:noProof/>
          <w:sz w:val="20"/>
          <w:szCs w:val="20"/>
        </w:rPr>
        <w:lastRenderedPageBreak/>
        <w:drawing>
          <wp:inline distT="0" distB="0" distL="0" distR="0" wp14:anchorId="569B4FA1" wp14:editId="34D899BB">
            <wp:extent cx="5801995" cy="2175986"/>
            <wp:effectExtent l="0" t="0" r="8255" b="0"/>
            <wp:docPr id="205788459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23827" cy="2184174"/>
                    </a:xfrm>
                    <a:prstGeom prst="rect">
                      <a:avLst/>
                    </a:prstGeom>
                    <a:noFill/>
                  </pic:spPr>
                </pic:pic>
              </a:graphicData>
            </a:graphic>
          </wp:inline>
        </w:drawing>
      </w:r>
    </w:p>
    <w:p w14:paraId="0C875081" w14:textId="59C44F55" w:rsidR="00646453" w:rsidRDefault="00646453" w:rsidP="003D13B3">
      <w:pPr>
        <w:jc w:val="center"/>
        <w:rPr>
          <w:rFonts w:ascii="Arial" w:hAnsi="Arial" w:cs="Arial"/>
          <w:noProof/>
          <w:sz w:val="20"/>
          <w:szCs w:val="20"/>
        </w:rPr>
      </w:pPr>
      <w:r>
        <w:rPr>
          <w:rFonts w:ascii="Arial" w:hAnsi="Arial" w:cs="Arial"/>
          <w:noProof/>
          <w:sz w:val="20"/>
          <w:szCs w:val="20"/>
        </w:rPr>
        <w:t xml:space="preserve">Figure 2. </w:t>
      </w:r>
      <w:r w:rsidR="003D13B3" w:rsidRPr="003D13B3">
        <w:rPr>
          <w:rFonts w:ascii="Arial" w:hAnsi="Arial" w:cs="Arial"/>
          <w:noProof/>
          <w:sz w:val="20"/>
          <w:szCs w:val="20"/>
        </w:rPr>
        <w:t>All flood-prone communities retrofitted in 2015 experienced NO waterlogging in the subsequent 10 years.&gt;99% of rainfall was detained onsite</w:t>
      </w:r>
    </w:p>
    <w:p w14:paraId="23B62DB8" w14:textId="3742D47F" w:rsidR="00646453" w:rsidRDefault="00EB1F3C" w:rsidP="009F26D3">
      <w:pPr>
        <w:rPr>
          <w:rFonts w:ascii="Arial" w:hAnsi="Arial" w:cs="Arial"/>
          <w:noProof/>
          <w:sz w:val="20"/>
          <w:szCs w:val="20"/>
        </w:rPr>
      </w:pPr>
      <w:r>
        <w:rPr>
          <w:noProof/>
        </w:rPr>
        <w:drawing>
          <wp:inline distT="0" distB="0" distL="0" distR="0" wp14:anchorId="0E9F8C46" wp14:editId="520876A0">
            <wp:extent cx="5943600" cy="4592320"/>
            <wp:effectExtent l="0" t="0" r="0" b="0"/>
            <wp:docPr id="899577474" name="Picture 6" descr="A collage of pie char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577474" name="Picture 6" descr="A collage of pie charts&#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592320"/>
                    </a:xfrm>
                    <a:prstGeom prst="rect">
                      <a:avLst/>
                    </a:prstGeom>
                    <a:noFill/>
                    <a:ln>
                      <a:noFill/>
                    </a:ln>
                  </pic:spPr>
                </pic:pic>
              </a:graphicData>
            </a:graphic>
          </wp:inline>
        </w:drawing>
      </w:r>
    </w:p>
    <w:p w14:paraId="11802605" w14:textId="52484653" w:rsidR="00646453" w:rsidRDefault="00EB1F3C" w:rsidP="00EB1F3C">
      <w:pPr>
        <w:jc w:val="center"/>
        <w:rPr>
          <w:rFonts w:ascii="Arial" w:hAnsi="Arial" w:cs="Arial"/>
          <w:sz w:val="20"/>
          <w:szCs w:val="20"/>
        </w:rPr>
      </w:pPr>
      <w:r>
        <w:rPr>
          <w:rFonts w:ascii="Arial" w:hAnsi="Arial" w:cs="Arial"/>
          <w:sz w:val="20"/>
          <w:szCs w:val="20"/>
        </w:rPr>
        <w:t>Figure 3. Pollution load reduction in communities</w:t>
      </w:r>
    </w:p>
    <w:p w14:paraId="61E0D597" w14:textId="79994D13" w:rsidR="003E72A2" w:rsidRDefault="003E72A2" w:rsidP="00646453">
      <w:pPr>
        <w:jc w:val="center"/>
        <w:rPr>
          <w:rFonts w:ascii="Arial" w:hAnsi="Arial" w:cs="Arial"/>
          <w:sz w:val="18"/>
          <w:szCs w:val="18"/>
        </w:rPr>
      </w:pPr>
    </w:p>
    <w:p w14:paraId="3C926C4D" w14:textId="77777777" w:rsidR="00646453" w:rsidRPr="00646453" w:rsidRDefault="00646453" w:rsidP="00646453">
      <w:pPr>
        <w:rPr>
          <w:rFonts w:ascii="Arial" w:hAnsi="Arial" w:cs="Arial"/>
          <w:sz w:val="18"/>
          <w:szCs w:val="18"/>
        </w:rPr>
      </w:pPr>
    </w:p>
    <w:p w14:paraId="4D8C8A52" w14:textId="77777777" w:rsidR="00646453" w:rsidRPr="00646453" w:rsidRDefault="00646453" w:rsidP="00646453">
      <w:pPr>
        <w:rPr>
          <w:rFonts w:ascii="Arial" w:hAnsi="Arial" w:cs="Arial"/>
          <w:sz w:val="18"/>
          <w:szCs w:val="18"/>
        </w:rPr>
      </w:pPr>
    </w:p>
    <w:p w14:paraId="4BCF6AD9" w14:textId="77777777" w:rsidR="00646453" w:rsidRPr="00646453" w:rsidRDefault="00646453" w:rsidP="00646453">
      <w:pPr>
        <w:rPr>
          <w:rFonts w:ascii="Arial" w:hAnsi="Arial" w:cs="Arial"/>
          <w:sz w:val="18"/>
          <w:szCs w:val="18"/>
        </w:rPr>
      </w:pPr>
    </w:p>
    <w:p w14:paraId="728145DD" w14:textId="77777777" w:rsidR="00646453" w:rsidRPr="00646453" w:rsidRDefault="00646453" w:rsidP="00646453">
      <w:pPr>
        <w:rPr>
          <w:rFonts w:ascii="Arial" w:hAnsi="Arial" w:cs="Arial"/>
          <w:sz w:val="18"/>
          <w:szCs w:val="18"/>
        </w:rPr>
      </w:pPr>
    </w:p>
    <w:p w14:paraId="222CC98B" w14:textId="77777777" w:rsidR="00646453" w:rsidRPr="00646453" w:rsidRDefault="00646453" w:rsidP="00646453">
      <w:pPr>
        <w:rPr>
          <w:rFonts w:ascii="Arial" w:hAnsi="Arial" w:cs="Arial"/>
          <w:sz w:val="18"/>
          <w:szCs w:val="18"/>
        </w:rPr>
      </w:pPr>
    </w:p>
    <w:p w14:paraId="501AFA0C" w14:textId="77777777" w:rsidR="00646453" w:rsidRPr="00646453" w:rsidRDefault="00646453" w:rsidP="00646453">
      <w:pPr>
        <w:rPr>
          <w:rFonts w:ascii="Arial" w:hAnsi="Arial" w:cs="Arial"/>
          <w:sz w:val="18"/>
          <w:szCs w:val="18"/>
        </w:rPr>
      </w:pPr>
    </w:p>
    <w:p w14:paraId="71E4ED08" w14:textId="77777777" w:rsidR="00646453" w:rsidRPr="00646453" w:rsidRDefault="00646453" w:rsidP="00646453">
      <w:pPr>
        <w:rPr>
          <w:rFonts w:ascii="Arial" w:hAnsi="Arial" w:cs="Arial"/>
          <w:sz w:val="18"/>
          <w:szCs w:val="18"/>
        </w:rPr>
      </w:pPr>
    </w:p>
    <w:p w14:paraId="4DA23E92" w14:textId="77777777" w:rsidR="00646453" w:rsidRPr="00646453" w:rsidRDefault="00646453" w:rsidP="00646453">
      <w:pPr>
        <w:rPr>
          <w:rFonts w:ascii="Arial" w:hAnsi="Arial" w:cs="Arial"/>
          <w:sz w:val="18"/>
          <w:szCs w:val="18"/>
        </w:rPr>
      </w:pPr>
    </w:p>
    <w:p w14:paraId="1D8DBE08" w14:textId="77777777" w:rsidR="00646453" w:rsidRPr="00646453" w:rsidRDefault="00646453" w:rsidP="00646453">
      <w:pPr>
        <w:rPr>
          <w:rFonts w:ascii="Arial" w:hAnsi="Arial" w:cs="Arial"/>
          <w:sz w:val="18"/>
          <w:szCs w:val="18"/>
        </w:rPr>
      </w:pPr>
    </w:p>
    <w:p w14:paraId="1DEFD9D7" w14:textId="77777777" w:rsidR="00646453" w:rsidRPr="00646453" w:rsidRDefault="00646453" w:rsidP="00646453">
      <w:pPr>
        <w:rPr>
          <w:rFonts w:ascii="Arial" w:hAnsi="Arial" w:cs="Arial"/>
          <w:sz w:val="18"/>
          <w:szCs w:val="18"/>
        </w:rPr>
      </w:pPr>
    </w:p>
    <w:p w14:paraId="240D4113" w14:textId="77777777" w:rsidR="00646453" w:rsidRPr="00646453" w:rsidRDefault="00646453" w:rsidP="00646453">
      <w:pPr>
        <w:rPr>
          <w:rFonts w:ascii="Arial" w:hAnsi="Arial" w:cs="Arial"/>
          <w:sz w:val="18"/>
          <w:szCs w:val="18"/>
        </w:rPr>
      </w:pPr>
    </w:p>
    <w:p w14:paraId="57B16018" w14:textId="77777777" w:rsidR="00646453" w:rsidRDefault="00646453" w:rsidP="00646453">
      <w:pPr>
        <w:rPr>
          <w:rFonts w:ascii="Arial" w:hAnsi="Arial" w:cs="Arial"/>
          <w:sz w:val="18"/>
          <w:szCs w:val="18"/>
        </w:rPr>
      </w:pPr>
    </w:p>
    <w:p w14:paraId="5267E460" w14:textId="77777777" w:rsidR="00646453" w:rsidRDefault="00646453" w:rsidP="00646453">
      <w:pPr>
        <w:rPr>
          <w:rFonts w:ascii="Arial" w:hAnsi="Arial" w:cs="Arial"/>
          <w:sz w:val="18"/>
          <w:szCs w:val="18"/>
        </w:rPr>
      </w:pPr>
    </w:p>
    <w:p w14:paraId="0225CACB" w14:textId="77777777" w:rsidR="00646453" w:rsidRPr="00646453" w:rsidRDefault="00646453" w:rsidP="00646453">
      <w:pPr>
        <w:rPr>
          <w:rFonts w:ascii="Arial" w:hAnsi="Arial" w:cs="Arial"/>
          <w:sz w:val="18"/>
          <w:szCs w:val="18"/>
        </w:rPr>
      </w:pPr>
    </w:p>
    <w:sectPr w:rsidR="00646453" w:rsidRPr="0064645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E4BDD5" w14:textId="77777777" w:rsidR="00967B55" w:rsidRDefault="00967B55" w:rsidP="00A35117">
      <w:pPr>
        <w:spacing w:after="0" w:line="240" w:lineRule="auto"/>
      </w:pPr>
      <w:r>
        <w:separator/>
      </w:r>
    </w:p>
  </w:endnote>
  <w:endnote w:type="continuationSeparator" w:id="0">
    <w:p w14:paraId="3D1939A7" w14:textId="77777777" w:rsidR="00967B55" w:rsidRDefault="00967B55" w:rsidP="00A351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D84130" w14:textId="77777777" w:rsidR="00967B55" w:rsidRDefault="00967B55" w:rsidP="00A35117">
      <w:pPr>
        <w:spacing w:after="0" w:line="240" w:lineRule="auto"/>
      </w:pPr>
      <w:r>
        <w:separator/>
      </w:r>
    </w:p>
  </w:footnote>
  <w:footnote w:type="continuationSeparator" w:id="0">
    <w:p w14:paraId="329B2884" w14:textId="77777777" w:rsidR="00967B55" w:rsidRDefault="00967B55" w:rsidP="00A3511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AF4A92"/>
    <w:multiLevelType w:val="multilevel"/>
    <w:tmpl w:val="2F625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F955A4"/>
    <w:multiLevelType w:val="multilevel"/>
    <w:tmpl w:val="93C45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E5167BC"/>
    <w:multiLevelType w:val="multilevel"/>
    <w:tmpl w:val="E35824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1D34583"/>
    <w:multiLevelType w:val="multilevel"/>
    <w:tmpl w:val="077206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47C15CC"/>
    <w:multiLevelType w:val="multilevel"/>
    <w:tmpl w:val="E83A7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CE77648"/>
    <w:multiLevelType w:val="multilevel"/>
    <w:tmpl w:val="F12E3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64261220">
    <w:abstractNumId w:val="0"/>
  </w:num>
  <w:num w:numId="2" w16cid:durableId="1354185680">
    <w:abstractNumId w:val="2"/>
  </w:num>
  <w:num w:numId="3" w16cid:durableId="1945646439">
    <w:abstractNumId w:val="5"/>
  </w:num>
  <w:num w:numId="4" w16cid:durableId="204099707">
    <w:abstractNumId w:val="4"/>
  </w:num>
  <w:num w:numId="5" w16cid:durableId="1604847368">
    <w:abstractNumId w:val="3"/>
  </w:num>
  <w:num w:numId="6" w16cid:durableId="16461611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7559"/>
    <w:rsid w:val="00035559"/>
    <w:rsid w:val="000648A1"/>
    <w:rsid w:val="00070A69"/>
    <w:rsid w:val="00074291"/>
    <w:rsid w:val="00084E69"/>
    <w:rsid w:val="000C5EF8"/>
    <w:rsid w:val="000F679A"/>
    <w:rsid w:val="000F75A9"/>
    <w:rsid w:val="001042CE"/>
    <w:rsid w:val="00107800"/>
    <w:rsid w:val="00117559"/>
    <w:rsid w:val="0014001E"/>
    <w:rsid w:val="00146D2F"/>
    <w:rsid w:val="001546F5"/>
    <w:rsid w:val="00164703"/>
    <w:rsid w:val="001D2853"/>
    <w:rsid w:val="001D68D6"/>
    <w:rsid w:val="001F1FC4"/>
    <w:rsid w:val="001F3A7F"/>
    <w:rsid w:val="001F5FD6"/>
    <w:rsid w:val="0020037E"/>
    <w:rsid w:val="0021314E"/>
    <w:rsid w:val="002241BA"/>
    <w:rsid w:val="00230BEC"/>
    <w:rsid w:val="002C33CB"/>
    <w:rsid w:val="002D0CA9"/>
    <w:rsid w:val="002D57D8"/>
    <w:rsid w:val="00305773"/>
    <w:rsid w:val="003406B2"/>
    <w:rsid w:val="00357363"/>
    <w:rsid w:val="003D13B3"/>
    <w:rsid w:val="003E72A2"/>
    <w:rsid w:val="00425095"/>
    <w:rsid w:val="00432F3D"/>
    <w:rsid w:val="00434E2E"/>
    <w:rsid w:val="00443F47"/>
    <w:rsid w:val="00446B4F"/>
    <w:rsid w:val="00450BC8"/>
    <w:rsid w:val="00461CC1"/>
    <w:rsid w:val="004A37B8"/>
    <w:rsid w:val="004A579E"/>
    <w:rsid w:val="004D2F87"/>
    <w:rsid w:val="0057343A"/>
    <w:rsid w:val="005A368B"/>
    <w:rsid w:val="005E36CB"/>
    <w:rsid w:val="005F1BAC"/>
    <w:rsid w:val="006107F0"/>
    <w:rsid w:val="00612723"/>
    <w:rsid w:val="00646453"/>
    <w:rsid w:val="00651AAF"/>
    <w:rsid w:val="0066749F"/>
    <w:rsid w:val="00676A3B"/>
    <w:rsid w:val="00686DF0"/>
    <w:rsid w:val="006E7194"/>
    <w:rsid w:val="00703745"/>
    <w:rsid w:val="00705833"/>
    <w:rsid w:val="00720F99"/>
    <w:rsid w:val="00723653"/>
    <w:rsid w:val="00735454"/>
    <w:rsid w:val="0077236D"/>
    <w:rsid w:val="00781235"/>
    <w:rsid w:val="00791ADE"/>
    <w:rsid w:val="007A5D9A"/>
    <w:rsid w:val="007E5D89"/>
    <w:rsid w:val="007F37DB"/>
    <w:rsid w:val="00850198"/>
    <w:rsid w:val="00856CCC"/>
    <w:rsid w:val="008905AD"/>
    <w:rsid w:val="00894E66"/>
    <w:rsid w:val="008A6ED1"/>
    <w:rsid w:val="008F21D4"/>
    <w:rsid w:val="008F7AE8"/>
    <w:rsid w:val="00934BB7"/>
    <w:rsid w:val="00954D3A"/>
    <w:rsid w:val="00956821"/>
    <w:rsid w:val="009605ED"/>
    <w:rsid w:val="00967B55"/>
    <w:rsid w:val="00981CEF"/>
    <w:rsid w:val="009957DA"/>
    <w:rsid w:val="0099731C"/>
    <w:rsid w:val="009E5561"/>
    <w:rsid w:val="009F26D3"/>
    <w:rsid w:val="00A000F4"/>
    <w:rsid w:val="00A323D3"/>
    <w:rsid w:val="00A330E7"/>
    <w:rsid w:val="00A35117"/>
    <w:rsid w:val="00A875A4"/>
    <w:rsid w:val="00AD5DF6"/>
    <w:rsid w:val="00AF6F9A"/>
    <w:rsid w:val="00B5755B"/>
    <w:rsid w:val="00B846FD"/>
    <w:rsid w:val="00BB0ABE"/>
    <w:rsid w:val="00BB6E3C"/>
    <w:rsid w:val="00BD547E"/>
    <w:rsid w:val="00C04928"/>
    <w:rsid w:val="00C12C3B"/>
    <w:rsid w:val="00C5266D"/>
    <w:rsid w:val="00C81FA4"/>
    <w:rsid w:val="00CD3A32"/>
    <w:rsid w:val="00CE34E1"/>
    <w:rsid w:val="00CF5D60"/>
    <w:rsid w:val="00D26C47"/>
    <w:rsid w:val="00D440EF"/>
    <w:rsid w:val="00D61491"/>
    <w:rsid w:val="00D74E44"/>
    <w:rsid w:val="00D9358C"/>
    <w:rsid w:val="00E17478"/>
    <w:rsid w:val="00E436FB"/>
    <w:rsid w:val="00E457FB"/>
    <w:rsid w:val="00E53E1E"/>
    <w:rsid w:val="00E57288"/>
    <w:rsid w:val="00E92B13"/>
    <w:rsid w:val="00EB1F3C"/>
    <w:rsid w:val="00EB6627"/>
    <w:rsid w:val="00ED2431"/>
    <w:rsid w:val="00ED5022"/>
    <w:rsid w:val="00F35A71"/>
    <w:rsid w:val="00F43E7F"/>
    <w:rsid w:val="00F551F9"/>
    <w:rsid w:val="00F60060"/>
    <w:rsid w:val="00F968EB"/>
    <w:rsid w:val="00FA16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D153D6"/>
  <w15:chartTrackingRefBased/>
  <w15:docId w15:val="{46E96990-BFD5-42B2-A5B9-3AF958C8E2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35117"/>
    <w:pPr>
      <w:tabs>
        <w:tab w:val="center" w:pos="4680"/>
        <w:tab w:val="right" w:pos="9360"/>
      </w:tabs>
      <w:spacing w:after="0" w:line="240" w:lineRule="auto"/>
    </w:pPr>
  </w:style>
  <w:style w:type="character" w:customStyle="1" w:styleId="HeaderChar">
    <w:name w:val="Header Char"/>
    <w:basedOn w:val="DefaultParagraphFont"/>
    <w:link w:val="Header"/>
    <w:uiPriority w:val="99"/>
    <w:rsid w:val="00A35117"/>
  </w:style>
  <w:style w:type="paragraph" w:styleId="Footer">
    <w:name w:val="footer"/>
    <w:basedOn w:val="Normal"/>
    <w:link w:val="FooterChar"/>
    <w:uiPriority w:val="99"/>
    <w:unhideWhenUsed/>
    <w:rsid w:val="00A35117"/>
    <w:pPr>
      <w:tabs>
        <w:tab w:val="center" w:pos="4680"/>
        <w:tab w:val="right" w:pos="9360"/>
      </w:tabs>
      <w:spacing w:after="0" w:line="240" w:lineRule="auto"/>
    </w:pPr>
  </w:style>
  <w:style w:type="character" w:customStyle="1" w:styleId="FooterChar">
    <w:name w:val="Footer Char"/>
    <w:basedOn w:val="DefaultParagraphFont"/>
    <w:link w:val="Footer"/>
    <w:uiPriority w:val="99"/>
    <w:rsid w:val="00A35117"/>
  </w:style>
  <w:style w:type="paragraph" w:styleId="ListParagraph">
    <w:name w:val="List Paragraph"/>
    <w:basedOn w:val="Normal"/>
    <w:uiPriority w:val="34"/>
    <w:qFormat/>
    <w:rsid w:val="007F37DB"/>
    <w:pPr>
      <w:ind w:left="720"/>
      <w:contextualSpacing/>
    </w:pPr>
    <w:rPr>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customXml" Target="../customXml/item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F60F44DFF40DC49B22F1290DAC27D35" ma:contentTypeVersion="14" ma:contentTypeDescription="Crée un document." ma:contentTypeScope="" ma:versionID="2de795916097a7ada137eda4db8bb0cb">
  <xsd:schema xmlns:xsd="http://www.w3.org/2001/XMLSchema" xmlns:xs="http://www.w3.org/2001/XMLSchema" xmlns:p="http://schemas.microsoft.com/office/2006/metadata/properties" xmlns:ns2="d17ac1b6-3fb5-4b17-a073-724c0a731bcf" xmlns:ns3="551e59af-c345-4516-8904-314e9b251ad6" targetNamespace="http://schemas.microsoft.com/office/2006/metadata/properties" ma:root="true" ma:fieldsID="dd656efe17d67c524e47b54c69ebd80f" ns2:_="" ns3:_="">
    <xsd:import namespace="d17ac1b6-3fb5-4b17-a073-724c0a731bcf"/>
    <xsd:import namespace="551e59af-c345-4516-8904-314e9b251ad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BillingMetadata"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ac1b6-3fb5-4b17-a073-724c0a731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BillingMetadata" ma:index="16" nillable="true" ma:displayName="MediaServiceBillingMetadata" ma:hidden="true" ma:internalName="MediaServiceBillingMetadata" ma:readOnly="true">
      <xsd:simpleType>
        <xsd:restriction base="dms:Note"/>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f2dbb24c-ba1d-4294-9915-f711720db876"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1e59af-c345-4516-8904-314e9b251ad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446a4740-0f97-450b-92bd-08bc639275ae}" ma:internalName="TaxCatchAll" ma:showField="CatchAllData" ma:web="551e59af-c345-4516-8904-314e9b251a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51e59af-c345-4516-8904-314e9b251ad6" xsi:nil="true"/>
    <lcf76f155ced4ddcb4097134ff3c332f xmlns="d17ac1b6-3fb5-4b17-a073-724c0a731bc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24A8AB4-7EE4-4CDA-8126-BBF995813BFE}"/>
</file>

<file path=customXml/itemProps2.xml><?xml version="1.0" encoding="utf-8"?>
<ds:datastoreItem xmlns:ds="http://schemas.openxmlformats.org/officeDocument/2006/customXml" ds:itemID="{C8F4AE7D-BE68-421F-AF87-80AA7E03D8E5}"/>
</file>

<file path=customXml/itemProps3.xml><?xml version="1.0" encoding="utf-8"?>
<ds:datastoreItem xmlns:ds="http://schemas.openxmlformats.org/officeDocument/2006/customXml" ds:itemID="{59BFACCA-7790-432D-9AD0-F716B0C6D243}"/>
</file>

<file path=docProps/app.xml><?xml version="1.0" encoding="utf-8"?>
<Properties xmlns="http://schemas.openxmlformats.org/officeDocument/2006/extended-properties" xmlns:vt="http://schemas.openxmlformats.org/officeDocument/2006/docPropsVTypes">
  <Template>Normal</Template>
  <TotalTime>2502</TotalTime>
  <Pages>8</Pages>
  <Words>2413</Words>
  <Characters>15206</Characters>
  <Application>Microsoft Office Word</Application>
  <DocSecurity>0</DocSecurity>
  <Lines>304</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Nian She</dc:creator>
  <cp:keywords/>
  <dc:description/>
  <cp:lastModifiedBy>Nian She</cp:lastModifiedBy>
  <cp:revision>23</cp:revision>
  <dcterms:created xsi:type="dcterms:W3CDTF">2025-12-03T18:23:00Z</dcterms:created>
  <dcterms:modified xsi:type="dcterms:W3CDTF">2025-12-05T05:26:00Z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0x010100EF60F44DFF40DC49B22F1290DAC27D35</vt:lpwstr>
  </property>
</Properties>
</file>