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98663" w14:textId="45B51614" w:rsidR="00C31BFD" w:rsidRPr="00EC2900" w:rsidRDefault="006F729B" w:rsidP="001E2744">
      <w:pPr>
        <w:pStyle w:val="3names"/>
        <w:rPr>
          <w:b/>
          <w:bCs/>
          <w:color w:val="00708E"/>
        </w:rPr>
      </w:pPr>
      <w:r w:rsidRPr="00EC2900">
        <w:rPr>
          <w:b/>
          <w:bCs/>
          <w:color w:val="00708E"/>
        </w:rPr>
        <w:t xml:space="preserve">Compact constructed wetland treating </w:t>
      </w:r>
      <w:r w:rsidR="00747D7C" w:rsidRPr="00EC2900">
        <w:rPr>
          <w:b/>
          <w:bCs/>
          <w:color w:val="00708E"/>
        </w:rPr>
        <w:t>combined sewer overflows</w:t>
      </w:r>
      <w:r w:rsidRPr="00EC2900">
        <w:rPr>
          <w:b/>
          <w:bCs/>
          <w:color w:val="00708E"/>
        </w:rPr>
        <w:t xml:space="preserve"> in urban areas</w:t>
      </w:r>
    </w:p>
    <w:p w14:paraId="6B7564C5" w14:textId="16472983" w:rsidR="00C31BFD" w:rsidRPr="00061D24" w:rsidRDefault="00121882" w:rsidP="009D500F">
      <w:pPr>
        <w:pStyle w:val="1Translation"/>
        <w:rPr>
          <w:lang w:val="fr-FR"/>
        </w:rPr>
      </w:pPr>
      <w:r w:rsidRPr="00121882">
        <w:rPr>
          <w:lang w:val="fr-FR"/>
        </w:rPr>
        <w:t>Zone humide artificielle compacte traitant les débordements des égouts unitaires dans les zones urbaines</w:t>
      </w:r>
    </w:p>
    <w:p w14:paraId="11A7CD7C" w14:textId="77777777" w:rsidR="00C31BFD" w:rsidRPr="00061D24" w:rsidRDefault="00C31BFD" w:rsidP="009D500F">
      <w:pPr>
        <w:pStyle w:val="3names"/>
        <w:rPr>
          <w:color w:val="auto"/>
          <w:sz w:val="20"/>
          <w:szCs w:val="20"/>
          <w:lang w:val="fr-FR"/>
        </w:rPr>
      </w:pPr>
    </w:p>
    <w:p w14:paraId="0A8500A1" w14:textId="77777777" w:rsidR="00B041EB" w:rsidRPr="00B041EB" w:rsidRDefault="00B041EB" w:rsidP="00B041EB">
      <w:pPr>
        <w:pStyle w:val="3names"/>
        <w:rPr>
          <w:color w:val="CF007E"/>
        </w:rPr>
      </w:pPr>
      <w:r w:rsidRPr="00B041EB">
        <w:rPr>
          <w:color w:val="CF007E"/>
        </w:rPr>
        <w:t>Storath, Julia</w:t>
      </w:r>
      <w:r w:rsidRPr="00B041EB">
        <w:rPr>
          <w:color w:val="CF007E"/>
          <w:vertAlign w:val="superscript"/>
        </w:rPr>
        <w:t>a</w:t>
      </w:r>
      <w:r w:rsidRPr="00B041EB">
        <w:rPr>
          <w:color w:val="CF007E"/>
        </w:rPr>
        <w:t xml:space="preserve">; Born, Maximilian </w:t>
      </w:r>
      <w:proofErr w:type="spellStart"/>
      <w:r w:rsidRPr="00B041EB">
        <w:rPr>
          <w:color w:val="CF007E"/>
        </w:rPr>
        <w:t>P.</w:t>
      </w:r>
      <w:r w:rsidRPr="00B041EB">
        <w:rPr>
          <w:color w:val="CF007E"/>
          <w:vertAlign w:val="superscript"/>
        </w:rPr>
        <w:t>a</w:t>
      </w:r>
      <w:proofErr w:type="spellEnd"/>
      <w:r w:rsidRPr="00B041EB">
        <w:rPr>
          <w:color w:val="CF007E"/>
        </w:rPr>
        <w:t xml:space="preserve">; </w:t>
      </w:r>
      <w:proofErr w:type="spellStart"/>
      <w:r w:rsidRPr="00B041EB">
        <w:rPr>
          <w:color w:val="CF007E"/>
        </w:rPr>
        <w:t>Benstoem</w:t>
      </w:r>
      <w:proofErr w:type="spellEnd"/>
      <w:r w:rsidRPr="00B041EB">
        <w:rPr>
          <w:color w:val="CF007E"/>
        </w:rPr>
        <w:t xml:space="preserve">, </w:t>
      </w:r>
      <w:proofErr w:type="spellStart"/>
      <w:r w:rsidRPr="00B041EB">
        <w:rPr>
          <w:color w:val="CF007E"/>
        </w:rPr>
        <w:t>Frank</w:t>
      </w:r>
      <w:r w:rsidRPr="00B041EB">
        <w:rPr>
          <w:color w:val="CF007E"/>
          <w:vertAlign w:val="superscript"/>
        </w:rPr>
        <w:t>b</w:t>
      </w:r>
      <w:proofErr w:type="spellEnd"/>
      <w:r w:rsidRPr="00B041EB">
        <w:rPr>
          <w:color w:val="CF007E"/>
        </w:rPr>
        <w:t xml:space="preserve">; </w:t>
      </w:r>
      <w:proofErr w:type="spellStart"/>
      <w:r w:rsidRPr="00B041EB">
        <w:rPr>
          <w:color w:val="CF007E"/>
        </w:rPr>
        <w:t>Wintgens</w:t>
      </w:r>
      <w:proofErr w:type="spellEnd"/>
      <w:r w:rsidRPr="00B041EB">
        <w:rPr>
          <w:color w:val="CF007E"/>
        </w:rPr>
        <w:t>, Thomas</w:t>
      </w:r>
      <w:r w:rsidRPr="00B041EB">
        <w:rPr>
          <w:color w:val="CF007E"/>
          <w:vertAlign w:val="superscript"/>
        </w:rPr>
        <w:t>a</w:t>
      </w:r>
    </w:p>
    <w:p w14:paraId="6D82C185" w14:textId="12D2D59D" w:rsidR="00C31BFD" w:rsidRPr="001E2744" w:rsidRDefault="00B041EB" w:rsidP="00B041EB">
      <w:pPr>
        <w:pStyle w:val="4organisme"/>
        <w:rPr>
          <w:rFonts w:cstheme="minorHAnsi"/>
        </w:rPr>
      </w:pPr>
      <w:proofErr w:type="gramStart"/>
      <w:r w:rsidRPr="00B041EB">
        <w:rPr>
          <w:rFonts w:cstheme="minorHAnsi"/>
          <w:vertAlign w:val="superscript"/>
        </w:rPr>
        <w:t>a</w:t>
      </w:r>
      <w:proofErr w:type="gramEnd"/>
      <w:r w:rsidRPr="00B041EB">
        <w:rPr>
          <w:rFonts w:cstheme="minorHAnsi"/>
        </w:rPr>
        <w:t xml:space="preserve"> Institute of Environmental Engineering, RWTH Aachen University, Mies-van-der-Rohe-</w:t>
      </w:r>
      <w:proofErr w:type="spellStart"/>
      <w:r w:rsidRPr="00B041EB">
        <w:rPr>
          <w:rFonts w:cstheme="minorHAnsi"/>
        </w:rPr>
        <w:t>Straße</w:t>
      </w:r>
      <w:proofErr w:type="spellEnd"/>
      <w:r w:rsidRPr="00B041EB">
        <w:rPr>
          <w:rFonts w:cstheme="minorHAnsi"/>
        </w:rPr>
        <w:t xml:space="preserve"> 1, 52074 Aachen, Germany</w:t>
      </w:r>
      <w:r w:rsidR="00E31B70">
        <w:rPr>
          <w:rFonts w:cstheme="minorHAnsi"/>
        </w:rPr>
        <w:t xml:space="preserve">; </w:t>
      </w:r>
      <w:r w:rsidRPr="001E2744">
        <w:rPr>
          <w:rFonts w:cstheme="minorHAnsi"/>
          <w:vertAlign w:val="superscript"/>
        </w:rPr>
        <w:t>b</w:t>
      </w:r>
      <w:r w:rsidRPr="001E2744">
        <w:rPr>
          <w:rFonts w:cstheme="minorHAnsi"/>
        </w:rPr>
        <w:t xml:space="preserve"> </w:t>
      </w:r>
      <w:proofErr w:type="spellStart"/>
      <w:r w:rsidRPr="001E2744">
        <w:rPr>
          <w:rFonts w:cstheme="minorHAnsi"/>
        </w:rPr>
        <w:t>atd</w:t>
      </w:r>
      <w:proofErr w:type="spellEnd"/>
      <w:r w:rsidRPr="001E2744">
        <w:rPr>
          <w:rFonts w:cstheme="minorHAnsi"/>
        </w:rPr>
        <w:t xml:space="preserve"> GmbH, </w:t>
      </w:r>
      <w:proofErr w:type="spellStart"/>
      <w:r w:rsidRPr="001E2744">
        <w:rPr>
          <w:rFonts w:cstheme="minorHAnsi"/>
        </w:rPr>
        <w:t>Krefelder</w:t>
      </w:r>
      <w:proofErr w:type="spellEnd"/>
      <w:r w:rsidRPr="001E2744">
        <w:rPr>
          <w:rFonts w:cstheme="minorHAnsi"/>
        </w:rPr>
        <w:t xml:space="preserve"> Str. 147, 52070 Aachen, Germany</w:t>
      </w:r>
    </w:p>
    <w:p w14:paraId="043E0AE2" w14:textId="77777777" w:rsidR="00C31BFD" w:rsidRPr="00EC2900" w:rsidRDefault="00C31BFD" w:rsidP="009D500F">
      <w:pPr>
        <w:pStyle w:val="Titre"/>
        <w:rPr>
          <w:lang w:val="fr-FR"/>
        </w:rPr>
      </w:pPr>
      <w:r w:rsidRPr="00EC2900">
        <w:rPr>
          <w:lang w:val="fr-FR"/>
        </w:rPr>
        <w:t>R</w:t>
      </w:r>
      <w:r w:rsidR="00023D54" w:rsidRPr="00EC2900">
        <w:rPr>
          <w:lang w:val="fr-FR"/>
        </w:rPr>
        <w:t>É</w:t>
      </w:r>
      <w:r w:rsidRPr="00EC2900">
        <w:rPr>
          <w:lang w:val="fr-FR"/>
        </w:rPr>
        <w:t>SUM</w:t>
      </w:r>
      <w:r w:rsidR="00023D54" w:rsidRPr="00EC2900">
        <w:rPr>
          <w:lang w:val="fr-FR"/>
        </w:rPr>
        <w:t>É</w:t>
      </w:r>
    </w:p>
    <w:p w14:paraId="43FE0399" w14:textId="09C90F38" w:rsidR="00121882" w:rsidRPr="00121882" w:rsidRDefault="00121882" w:rsidP="00121882">
      <w:pPr>
        <w:spacing w:before="0"/>
        <w:rPr>
          <w:rFonts w:cstheme="minorHAnsi"/>
          <w:lang w:val="fr-FR"/>
        </w:rPr>
      </w:pPr>
      <w:r w:rsidRPr="00121882">
        <w:rPr>
          <w:rFonts w:cstheme="minorHAnsi"/>
          <w:lang w:val="fr-FR"/>
        </w:rPr>
        <w:t xml:space="preserve">Les zones humides artificielles compactes pour les débordements d'égouts unitaires (CSO-CW compacts) visent à offrir des performances de traitement élevées dans les zones urbaines où l'espace est limité. L'augmentation du débit par unité de surface est la principale approche pour réduire la demande en surface de </w:t>
      </w:r>
      <w:proofErr w:type="gramStart"/>
      <w:r w:rsidRPr="00121882">
        <w:rPr>
          <w:rFonts w:cstheme="minorHAnsi"/>
          <w:lang w:val="fr-FR"/>
        </w:rPr>
        <w:t>filtration;</w:t>
      </w:r>
      <w:proofErr w:type="gramEnd"/>
      <w:r w:rsidRPr="00121882">
        <w:rPr>
          <w:rFonts w:cstheme="minorHAnsi"/>
          <w:lang w:val="fr-FR"/>
        </w:rPr>
        <w:t xml:space="preserve"> cependant, une charge hydraulique plus élevée diminue le temps de séjour et nuit à l'élimination des polluants. Pour remédier à ce problème, deux stratégies d'optimisation ont été </w:t>
      </w:r>
      <w:proofErr w:type="gramStart"/>
      <w:r w:rsidRPr="00121882">
        <w:rPr>
          <w:rFonts w:cstheme="minorHAnsi"/>
          <w:lang w:val="fr-FR"/>
        </w:rPr>
        <w:t>étudiées:</w:t>
      </w:r>
      <w:proofErr w:type="gramEnd"/>
      <w:r w:rsidRPr="00121882">
        <w:rPr>
          <w:rFonts w:cstheme="minorHAnsi"/>
          <w:lang w:val="fr-FR"/>
        </w:rPr>
        <w:t xml:space="preserve"> (i) des substrats filtrants alternatifs présentant des propriétés hydrauliques et </w:t>
      </w:r>
      <w:proofErr w:type="spellStart"/>
      <w:r w:rsidRPr="00121882">
        <w:rPr>
          <w:rFonts w:cstheme="minorHAnsi"/>
          <w:lang w:val="fr-FR"/>
        </w:rPr>
        <w:t>sorptives</w:t>
      </w:r>
      <w:proofErr w:type="spellEnd"/>
      <w:r w:rsidRPr="00121882">
        <w:rPr>
          <w:rFonts w:cstheme="minorHAnsi"/>
          <w:lang w:val="fr-FR"/>
        </w:rPr>
        <w:t xml:space="preserve"> améliorées, et (ii) des floculants biodégradables (biopolymères) pour améliorer l'agglomération des particules. Six substrats ont été testés dans des colonnes à petite échelle à charge hydraulique élevée, avec et sans dosage de biopolymères, parallèlement à un criblage de 16</w:t>
      </w:r>
      <w:r>
        <w:rPr>
          <w:rFonts w:cstheme="minorHAnsi"/>
          <w:lang w:val="fr-FR"/>
        </w:rPr>
        <w:t> </w:t>
      </w:r>
      <w:r w:rsidRPr="00121882">
        <w:rPr>
          <w:rFonts w:cstheme="minorHAnsi"/>
          <w:lang w:val="fr-FR"/>
        </w:rPr>
        <w:t xml:space="preserve">biopolymères à l'aide de tests en jarre. Les biopolymères à base de </w:t>
      </w:r>
      <w:proofErr w:type="spellStart"/>
      <w:r w:rsidRPr="00121882">
        <w:rPr>
          <w:rFonts w:cstheme="minorHAnsi"/>
          <w:lang w:val="fr-FR"/>
        </w:rPr>
        <w:t>chitosane</w:t>
      </w:r>
      <w:proofErr w:type="spellEnd"/>
      <w:r w:rsidRPr="00121882">
        <w:rPr>
          <w:rFonts w:cstheme="minorHAnsi"/>
          <w:lang w:val="fr-FR"/>
        </w:rPr>
        <w:t xml:space="preserve"> ont réduit la turbidité jusqu'à 80</w:t>
      </w:r>
      <w:r>
        <w:rPr>
          <w:rFonts w:cstheme="minorHAnsi"/>
          <w:lang w:val="fr-FR"/>
        </w:rPr>
        <w:t> </w:t>
      </w:r>
      <w:r w:rsidRPr="00121882">
        <w:rPr>
          <w:rFonts w:cstheme="minorHAnsi"/>
          <w:lang w:val="fr-FR"/>
        </w:rPr>
        <w:t xml:space="preserve">% dans les CSO. Les essais en colonne à petite échelle ont démontré que les substrats fins et </w:t>
      </w:r>
      <w:proofErr w:type="spellStart"/>
      <w:r w:rsidRPr="00121882">
        <w:rPr>
          <w:rFonts w:cstheme="minorHAnsi"/>
          <w:lang w:val="fr-FR"/>
        </w:rPr>
        <w:t>sorbants</w:t>
      </w:r>
      <w:proofErr w:type="spellEnd"/>
      <w:r w:rsidRPr="00121882">
        <w:rPr>
          <w:rFonts w:cstheme="minorHAnsi"/>
          <w:lang w:val="fr-FR"/>
        </w:rPr>
        <w:t xml:space="preserve"> maintenaient des rendements d'élimination élevés à des débits plus importants, tandis que les matériaux grossiers montraient des améliorations substantielles avec l'ajout de biopolymères. Ces résultats indiquent que les configurations compactes CSO-CW peuvent permettre une élimination des particules et des matières organiques comparable à celle des systèmes conventionnels lorsque le choix approprié du substrat est associé à un traitement assisté par biopolymères.</w:t>
      </w:r>
      <w:r>
        <w:rPr>
          <w:rFonts w:cstheme="minorHAnsi"/>
          <w:lang w:val="fr-FR"/>
        </w:rPr>
        <w:t xml:space="preserve"> </w:t>
      </w:r>
      <w:r w:rsidRPr="00121882">
        <w:rPr>
          <w:rFonts w:cstheme="minorHAnsi"/>
          <w:lang w:val="fr-FR"/>
        </w:rPr>
        <w:t>Cependant, même à un débit double, le CSO-CW de référence sans dosage de biopolymères n'a montré qu'une performance de traitement légèrement inférieure (&lt;10</w:t>
      </w:r>
      <w:r w:rsidR="00B12D00">
        <w:rPr>
          <w:rFonts w:cstheme="minorHAnsi"/>
          <w:lang w:val="fr-FR"/>
        </w:rPr>
        <w:t> </w:t>
      </w:r>
      <w:r w:rsidRPr="00121882">
        <w:rPr>
          <w:rFonts w:cstheme="minorHAnsi"/>
          <w:lang w:val="fr-FR"/>
        </w:rPr>
        <w:t>%) pour les paramètres clés (COD, N</w:t>
      </w:r>
      <w:r w:rsidRPr="00B12D00">
        <w:rPr>
          <w:rFonts w:cstheme="minorHAnsi"/>
          <w:lang w:val="fr-FR"/>
        </w:rPr>
        <w:t>H</w:t>
      </w:r>
      <w:r w:rsidRPr="00B12D00">
        <w:rPr>
          <w:rFonts w:cstheme="minorHAnsi"/>
          <w:vertAlign w:val="subscript"/>
          <w:lang w:val="fr-FR"/>
        </w:rPr>
        <w:t>4</w:t>
      </w:r>
      <w:r w:rsidRPr="00121882">
        <w:rPr>
          <w:rFonts w:cstheme="minorHAnsi"/>
          <w:lang w:val="fr-FR"/>
        </w:rPr>
        <w:t>-N, TSS). Des essais pilotes semi-techniques combinant des débits accrus et un dosage de biopolymères sont actuellement évalués ; les résultats finaux sur le dosage optimal de biopolymères et les effets combinés de l'intensification hydraulique et de la floculation seront présentés lors de la conférence.</w:t>
      </w:r>
    </w:p>
    <w:p w14:paraId="02FC3078" w14:textId="77777777" w:rsidR="00C31BFD" w:rsidRPr="00061D24" w:rsidRDefault="00C31BFD" w:rsidP="009D500F">
      <w:pPr>
        <w:pStyle w:val="Titre"/>
        <w:rPr>
          <w:color w:val="00B6CF"/>
        </w:rPr>
      </w:pPr>
      <w:r w:rsidRPr="00061D24">
        <w:rPr>
          <w:color w:val="00B6CF"/>
        </w:rPr>
        <w:t>ABSTRACT</w:t>
      </w:r>
    </w:p>
    <w:p w14:paraId="5BA09BB4" w14:textId="4A5760DC" w:rsidR="00C31BFD" w:rsidRPr="004B290B" w:rsidRDefault="007B346C" w:rsidP="00AA1C3A">
      <w:pPr>
        <w:spacing w:before="0"/>
        <w:rPr>
          <w:rFonts w:cstheme="minorHAnsi"/>
        </w:rPr>
      </w:pPr>
      <w:r w:rsidRPr="007B346C">
        <w:rPr>
          <w:rFonts w:cstheme="minorHAnsi"/>
        </w:rPr>
        <w:t>Compact constructed wetlands for combined sewer overflows (compact CSO-CWs) aim to provide high treatment performance in urban areas with limited space. Increasing the area-related flow rate</w:t>
      </w:r>
      <w:r>
        <w:rPr>
          <w:rFonts w:cstheme="minorHAnsi"/>
        </w:rPr>
        <w:t xml:space="preserve"> </w:t>
      </w:r>
      <w:r w:rsidRPr="007B346C">
        <w:rPr>
          <w:rFonts w:cstheme="minorHAnsi"/>
        </w:rPr>
        <w:t xml:space="preserve">is the primary approach to </w:t>
      </w:r>
      <w:r w:rsidR="000C0719">
        <w:rPr>
          <w:rFonts w:cstheme="minorHAnsi"/>
        </w:rPr>
        <w:t>reducing</w:t>
      </w:r>
      <w:r w:rsidRPr="007B346C">
        <w:rPr>
          <w:rFonts w:cstheme="minorHAnsi"/>
        </w:rPr>
        <w:t xml:space="preserve"> filter surface demand</w:t>
      </w:r>
      <w:r w:rsidR="007146BE">
        <w:rPr>
          <w:rFonts w:cstheme="minorHAnsi"/>
        </w:rPr>
        <w:t>;</w:t>
      </w:r>
      <w:r w:rsidR="007146BE" w:rsidRPr="007B346C">
        <w:rPr>
          <w:rFonts w:cstheme="minorHAnsi"/>
        </w:rPr>
        <w:t xml:space="preserve"> </w:t>
      </w:r>
      <w:r w:rsidRPr="007B346C">
        <w:rPr>
          <w:rFonts w:cstheme="minorHAnsi"/>
        </w:rPr>
        <w:t xml:space="preserve">however, higher hydraulic loading </w:t>
      </w:r>
      <w:r w:rsidR="000C0719">
        <w:rPr>
          <w:rFonts w:cstheme="minorHAnsi"/>
        </w:rPr>
        <w:t>decreases</w:t>
      </w:r>
      <w:r w:rsidRPr="007B346C">
        <w:rPr>
          <w:rFonts w:cstheme="minorHAnsi"/>
        </w:rPr>
        <w:t xml:space="preserve"> residence time and</w:t>
      </w:r>
      <w:r w:rsidR="000C0719">
        <w:rPr>
          <w:rFonts w:cstheme="minorHAnsi"/>
        </w:rPr>
        <w:t xml:space="preserve"> impair</w:t>
      </w:r>
      <w:r w:rsidR="007146BE">
        <w:rPr>
          <w:rFonts w:cstheme="minorHAnsi"/>
        </w:rPr>
        <w:t>s</w:t>
      </w:r>
      <w:r w:rsidR="000C0719">
        <w:rPr>
          <w:rFonts w:cstheme="minorHAnsi"/>
        </w:rPr>
        <w:t xml:space="preserve"> pollutant removal</w:t>
      </w:r>
      <w:r w:rsidRPr="007B346C">
        <w:rPr>
          <w:rFonts w:cstheme="minorHAnsi"/>
        </w:rPr>
        <w:t xml:space="preserve">. To </w:t>
      </w:r>
      <w:r w:rsidR="000C0719">
        <w:rPr>
          <w:rFonts w:cstheme="minorHAnsi"/>
        </w:rPr>
        <w:t>address this</w:t>
      </w:r>
      <w:r w:rsidR="007146BE">
        <w:rPr>
          <w:rFonts w:cstheme="minorHAnsi"/>
        </w:rPr>
        <w:t xml:space="preserve"> issue</w:t>
      </w:r>
      <w:r w:rsidRPr="007B346C">
        <w:rPr>
          <w:rFonts w:cstheme="minorHAnsi"/>
        </w:rPr>
        <w:t>, two optimisation strategies were investigated: (</w:t>
      </w:r>
      <w:proofErr w:type="spellStart"/>
      <w:r w:rsidRPr="007B346C">
        <w:rPr>
          <w:rFonts w:cstheme="minorHAnsi"/>
        </w:rPr>
        <w:t>i</w:t>
      </w:r>
      <w:proofErr w:type="spellEnd"/>
      <w:r w:rsidRPr="007B346C">
        <w:rPr>
          <w:rFonts w:cstheme="minorHAnsi"/>
        </w:rPr>
        <w:t xml:space="preserve">) alternative filter substrates with improved hydraulic and </w:t>
      </w:r>
      <w:proofErr w:type="spellStart"/>
      <w:r w:rsidRPr="007B346C">
        <w:rPr>
          <w:rFonts w:cstheme="minorHAnsi"/>
        </w:rPr>
        <w:t>sorptive</w:t>
      </w:r>
      <w:proofErr w:type="spellEnd"/>
      <w:r w:rsidRPr="007B346C">
        <w:rPr>
          <w:rFonts w:cstheme="minorHAnsi"/>
        </w:rPr>
        <w:t xml:space="preserve"> properties, and (ii) biodegradable floccula</w:t>
      </w:r>
      <w:r w:rsidR="00283DA0">
        <w:rPr>
          <w:rFonts w:cstheme="minorHAnsi"/>
        </w:rPr>
        <w:t>nts</w:t>
      </w:r>
      <w:r w:rsidRPr="007B346C">
        <w:rPr>
          <w:rFonts w:cstheme="minorHAnsi"/>
        </w:rPr>
        <w:t xml:space="preserve"> (</w:t>
      </w:r>
      <w:r>
        <w:rPr>
          <w:rFonts w:cstheme="minorHAnsi"/>
        </w:rPr>
        <w:t>biopolymers</w:t>
      </w:r>
      <w:r w:rsidRPr="007B346C">
        <w:rPr>
          <w:rFonts w:cstheme="minorHAnsi"/>
        </w:rPr>
        <w:t xml:space="preserve">) to enhance particle agglomeration. Six substrates were tested in </w:t>
      </w:r>
      <w:r w:rsidR="00283DA0" w:rsidRPr="00283DA0">
        <w:rPr>
          <w:rFonts w:cstheme="minorHAnsi"/>
        </w:rPr>
        <w:t>small</w:t>
      </w:r>
      <w:r w:rsidRPr="00283DA0">
        <w:rPr>
          <w:rFonts w:cstheme="minorHAnsi"/>
        </w:rPr>
        <w:t>-scale</w:t>
      </w:r>
      <w:r w:rsidRPr="007B346C">
        <w:rPr>
          <w:rFonts w:cstheme="minorHAnsi"/>
        </w:rPr>
        <w:t xml:space="preserve"> columns at elevated hydraulic loading</w:t>
      </w:r>
      <w:r w:rsidR="00121882">
        <w:rPr>
          <w:rFonts w:cstheme="minorHAnsi"/>
        </w:rPr>
        <w:t xml:space="preserve"> with and without biopolymer dosing</w:t>
      </w:r>
      <w:r w:rsidRPr="007B346C">
        <w:rPr>
          <w:rFonts w:cstheme="minorHAnsi"/>
        </w:rPr>
        <w:t>, alongside a screening of 16</w:t>
      </w:r>
      <w:r>
        <w:rPr>
          <w:rFonts w:cstheme="minorHAnsi"/>
        </w:rPr>
        <w:t> bio</w:t>
      </w:r>
      <w:r>
        <w:rPr>
          <w:rFonts w:cstheme="minorHAnsi"/>
        </w:rPr>
        <w:softHyphen/>
        <w:t>polymers</w:t>
      </w:r>
      <w:r w:rsidRPr="007B346C">
        <w:rPr>
          <w:rFonts w:cstheme="minorHAnsi"/>
        </w:rPr>
        <w:t xml:space="preserve"> using jar tests. Chitosan-based </w:t>
      </w:r>
      <w:r>
        <w:rPr>
          <w:rFonts w:cstheme="minorHAnsi"/>
        </w:rPr>
        <w:t>biopolymers</w:t>
      </w:r>
      <w:r w:rsidRPr="007B346C">
        <w:rPr>
          <w:rFonts w:cstheme="minorHAnsi"/>
        </w:rPr>
        <w:t xml:space="preserve"> </w:t>
      </w:r>
      <w:r w:rsidR="007146BE">
        <w:rPr>
          <w:rFonts w:cstheme="minorHAnsi"/>
        </w:rPr>
        <w:t>reduced turbidity by up to 80 % in CSO</w:t>
      </w:r>
      <w:r w:rsidR="00F03D82">
        <w:rPr>
          <w:rFonts w:cstheme="minorHAnsi"/>
        </w:rPr>
        <w:t xml:space="preserve">. Small-scale column tests </w:t>
      </w:r>
      <w:r w:rsidR="00F03D82" w:rsidRPr="00F03D82">
        <w:rPr>
          <w:rFonts w:cstheme="minorHAnsi"/>
        </w:rPr>
        <w:t xml:space="preserve">demonstrated that fine and </w:t>
      </w:r>
      <w:proofErr w:type="spellStart"/>
      <w:r w:rsidR="00F03D82" w:rsidRPr="00F03D82">
        <w:rPr>
          <w:rFonts w:cstheme="minorHAnsi"/>
        </w:rPr>
        <w:t>sorptive</w:t>
      </w:r>
      <w:proofErr w:type="spellEnd"/>
      <w:r w:rsidR="00F03D82" w:rsidRPr="00F03D82">
        <w:rPr>
          <w:rFonts w:cstheme="minorHAnsi"/>
        </w:rPr>
        <w:t xml:space="preserve"> substrates maintained high removal efficiencies </w:t>
      </w:r>
      <w:r w:rsidR="007146BE">
        <w:rPr>
          <w:rFonts w:cstheme="minorHAnsi"/>
        </w:rPr>
        <w:t>at higher throughputs, whereas coarse materials showed substantial improvements with biopolymer dosing</w:t>
      </w:r>
      <w:r w:rsidR="00F03D82" w:rsidRPr="00F03D82">
        <w:rPr>
          <w:rFonts w:cstheme="minorHAnsi"/>
        </w:rPr>
        <w:t>. These results indicate that compact CSO-CW configurations can achieve particle and organic matter removal comparable to conventional systems when appropriate substrate selection is combined with biopolymer-assisted treatment.</w:t>
      </w:r>
      <w:r w:rsidR="00F03D82">
        <w:rPr>
          <w:rFonts w:cstheme="minorHAnsi"/>
        </w:rPr>
        <w:t xml:space="preserve"> </w:t>
      </w:r>
      <w:r w:rsidR="00F03D82" w:rsidRPr="00F03D82">
        <w:rPr>
          <w:rFonts w:cstheme="minorHAnsi"/>
        </w:rPr>
        <w:t>However, even at double flow rate, the reference CSO-CW</w:t>
      </w:r>
      <w:r w:rsidR="006471AE">
        <w:rPr>
          <w:rFonts w:cstheme="minorHAnsi"/>
        </w:rPr>
        <w:t xml:space="preserve"> without </w:t>
      </w:r>
      <w:r w:rsidR="006A7351">
        <w:rPr>
          <w:rFonts w:cstheme="minorHAnsi"/>
        </w:rPr>
        <w:t xml:space="preserve">biopolymer </w:t>
      </w:r>
      <w:r w:rsidR="006471AE">
        <w:rPr>
          <w:rFonts w:cstheme="minorHAnsi"/>
        </w:rPr>
        <w:t>dosing</w:t>
      </w:r>
      <w:r w:rsidR="00F03D82" w:rsidRPr="00F03D82">
        <w:rPr>
          <w:rFonts w:cstheme="minorHAnsi"/>
        </w:rPr>
        <w:t xml:space="preserve"> showed only slightly lower treatment performance (&lt;10</w:t>
      </w:r>
      <w:r w:rsidR="00121882">
        <w:rPr>
          <w:rFonts w:cstheme="minorHAnsi"/>
        </w:rPr>
        <w:t> </w:t>
      </w:r>
      <w:r w:rsidR="00F03D82" w:rsidRPr="00F03D82">
        <w:rPr>
          <w:rFonts w:cstheme="minorHAnsi"/>
        </w:rPr>
        <w:t>%) for key parameters (COD, NH</w:t>
      </w:r>
      <w:r w:rsidR="00F03D82" w:rsidRPr="00F03D82">
        <w:rPr>
          <w:rFonts w:cstheme="minorHAnsi"/>
          <w:vertAlign w:val="subscript"/>
        </w:rPr>
        <w:t>4</w:t>
      </w:r>
      <w:r w:rsidR="00F03D82" w:rsidRPr="00F03D82">
        <w:rPr>
          <w:rFonts w:cstheme="minorHAnsi"/>
        </w:rPr>
        <w:t>-N, TSS).</w:t>
      </w:r>
      <w:r w:rsidR="00F03D82">
        <w:rPr>
          <w:rFonts w:cstheme="minorHAnsi"/>
        </w:rPr>
        <w:t xml:space="preserve"> </w:t>
      </w:r>
      <w:r w:rsidRPr="007B346C">
        <w:rPr>
          <w:rFonts w:cstheme="minorHAnsi"/>
        </w:rPr>
        <w:t xml:space="preserve">Semi-technical </w:t>
      </w:r>
      <w:r w:rsidR="00186DF0">
        <w:rPr>
          <w:rFonts w:cstheme="minorHAnsi"/>
        </w:rPr>
        <w:t>pilot</w:t>
      </w:r>
      <w:r>
        <w:rPr>
          <w:rFonts w:cstheme="minorHAnsi"/>
        </w:rPr>
        <w:t xml:space="preserve"> tests</w:t>
      </w:r>
      <w:r w:rsidRPr="007B346C">
        <w:rPr>
          <w:rFonts w:cstheme="minorHAnsi"/>
        </w:rPr>
        <w:t xml:space="preserve"> combining increased flow rates with </w:t>
      </w:r>
      <w:r>
        <w:rPr>
          <w:rFonts w:cstheme="minorHAnsi"/>
        </w:rPr>
        <w:t>biopolymer</w:t>
      </w:r>
      <w:r w:rsidRPr="007B346C">
        <w:rPr>
          <w:rFonts w:cstheme="minorHAnsi"/>
        </w:rPr>
        <w:t xml:space="preserve"> dosing are currently </w:t>
      </w:r>
      <w:r w:rsidR="00F03D82">
        <w:rPr>
          <w:rFonts w:cstheme="minorHAnsi"/>
        </w:rPr>
        <w:t>evaluated</w:t>
      </w:r>
      <w:r w:rsidRPr="007B346C">
        <w:rPr>
          <w:rFonts w:cstheme="minorHAnsi"/>
        </w:rPr>
        <w:t xml:space="preserve">; </w:t>
      </w:r>
      <w:proofErr w:type="gramStart"/>
      <w:r w:rsidRPr="007B346C">
        <w:rPr>
          <w:rFonts w:cstheme="minorHAnsi"/>
        </w:rPr>
        <w:t>final results</w:t>
      </w:r>
      <w:proofErr w:type="gramEnd"/>
      <w:r w:rsidRPr="007B346C">
        <w:rPr>
          <w:rFonts w:cstheme="minorHAnsi"/>
        </w:rPr>
        <w:t xml:space="preserve"> on optimal </w:t>
      </w:r>
      <w:r>
        <w:rPr>
          <w:rFonts w:cstheme="minorHAnsi"/>
        </w:rPr>
        <w:t>biopolymer</w:t>
      </w:r>
      <w:r w:rsidRPr="007B346C">
        <w:rPr>
          <w:rFonts w:cstheme="minorHAnsi"/>
        </w:rPr>
        <w:t xml:space="preserve"> dosage and combined effects of hydraulic intensification and flocculation will be available for presentation at the conference.</w:t>
      </w:r>
    </w:p>
    <w:p w14:paraId="085BA4B4" w14:textId="77777777" w:rsidR="00C31BFD" w:rsidRPr="00061D24" w:rsidRDefault="006A683B" w:rsidP="009D500F">
      <w:pPr>
        <w:pStyle w:val="Titre"/>
        <w:rPr>
          <w:color w:val="auto"/>
        </w:rPr>
      </w:pPr>
      <w:r w:rsidRPr="00061D24">
        <w:rPr>
          <w:color w:val="auto"/>
        </w:rPr>
        <w:t>KEYWORDS</w:t>
      </w:r>
    </w:p>
    <w:p w14:paraId="3ECA4224" w14:textId="2CA88412" w:rsidR="006A683B" w:rsidRPr="00061D24" w:rsidRDefault="009B744D" w:rsidP="006A683B">
      <w:pPr>
        <w:rPr>
          <w:rFonts w:cstheme="minorHAnsi"/>
        </w:rPr>
      </w:pPr>
      <w:r>
        <w:rPr>
          <w:rFonts w:cstheme="minorHAnsi"/>
        </w:rPr>
        <w:t xml:space="preserve">Biopolymer, Combined sewer overflow, Constructed wetland, </w:t>
      </w:r>
      <w:r w:rsidR="000C0719">
        <w:rPr>
          <w:rFonts w:cstheme="minorHAnsi"/>
        </w:rPr>
        <w:t xml:space="preserve">Retention soil </w:t>
      </w:r>
      <w:r w:rsidR="00E31B70">
        <w:rPr>
          <w:rFonts w:cstheme="minorHAnsi"/>
        </w:rPr>
        <w:t>filter,</w:t>
      </w:r>
      <w:r w:rsidR="000C0719">
        <w:rPr>
          <w:rFonts w:cstheme="minorHAnsi"/>
        </w:rPr>
        <w:t xml:space="preserve"> urban runoff</w:t>
      </w:r>
      <w:r w:rsidR="00F03D82">
        <w:rPr>
          <w:rFonts w:cstheme="minorHAnsi"/>
        </w:rPr>
        <w:t xml:space="preserve"> treatment</w:t>
      </w:r>
    </w:p>
    <w:p w14:paraId="7058341E" w14:textId="64A39288" w:rsidR="00C31BFD" w:rsidRPr="009D500F" w:rsidRDefault="00AA1C3A" w:rsidP="009D500F">
      <w:pPr>
        <w:pStyle w:val="Titre1"/>
      </w:pPr>
      <w:r w:rsidRPr="00061D24">
        <w:br w:type="page"/>
      </w:r>
      <w:r w:rsidR="00CC4916">
        <w:lastRenderedPageBreak/>
        <w:t>Introduction</w:t>
      </w:r>
    </w:p>
    <w:p w14:paraId="79C17D6C" w14:textId="5905FF35" w:rsidR="00CC4916" w:rsidRDefault="00747D7C" w:rsidP="00CC4916">
      <w:r>
        <w:t>In Germany</w:t>
      </w:r>
      <w:r w:rsidR="008F7FAE">
        <w:t>,</w:t>
      </w:r>
      <w:r>
        <w:t xml:space="preserve"> c</w:t>
      </w:r>
      <w:r w:rsidR="00CC4916">
        <w:t>ombined sewer overflow constructed wetlands (CSO-CWs) are widely implemented nature-based solutions for mitigating emissions from otherwise untreated urban stormwater</w:t>
      </w:r>
      <w:r w:rsidR="00F03D82">
        <w:t xml:space="preserve"> (</w:t>
      </w:r>
      <w:r w:rsidR="00F03D82" w:rsidRPr="00F03D82">
        <w:t xml:space="preserve">Meyer et al., 2013; Rizzo et al., 2020; </w:t>
      </w:r>
      <w:proofErr w:type="spellStart"/>
      <w:r w:rsidR="00F03D82" w:rsidRPr="00F03D82">
        <w:t>Tondera</w:t>
      </w:r>
      <w:proofErr w:type="spellEnd"/>
      <w:r w:rsidR="00F03D82" w:rsidRPr="00F03D82">
        <w:t>, 2019)</w:t>
      </w:r>
      <w:r w:rsidR="00CC4916">
        <w:t>. Their treatment efficiency relies primarily on the interaction between hydraulic loading, filter substrate properties</w:t>
      </w:r>
      <w:r w:rsidR="008F7FAE">
        <w:t>,</w:t>
      </w:r>
      <w:r w:rsidR="00CC4916">
        <w:t xml:space="preserve"> and the retention of particulate, dissolved and oxygen-de</w:t>
      </w:r>
      <w:r w:rsidR="00EE3C79">
        <w:t>pleting</w:t>
      </w:r>
      <w:r w:rsidR="00CC4916">
        <w:t xml:space="preserve"> substances. Conventional CSO-CWs are typically dimensioned with area-related flow rates of 0.01-0.05 L s</w:t>
      </w:r>
      <w:r w:rsidR="00CC4916" w:rsidRPr="00CC4916">
        <w:rPr>
          <w:vertAlign w:val="superscript"/>
        </w:rPr>
        <w:t>-1</w:t>
      </w:r>
      <w:r w:rsidR="00CC4916">
        <w:t xml:space="preserve"> m</w:t>
      </w:r>
      <w:r w:rsidR="00CC4916" w:rsidRPr="00CC4916">
        <w:rPr>
          <w:vertAlign w:val="superscript"/>
        </w:rPr>
        <w:t>-2</w:t>
      </w:r>
      <w:r w:rsidR="00CC4916">
        <w:t>, resulting in high surface area demand, often corresponding to approximately 1 % of the connected impervious catchment</w:t>
      </w:r>
      <w:r w:rsidR="00BA6634">
        <w:t xml:space="preserve"> </w:t>
      </w:r>
      <w:r w:rsidR="008F7FAE">
        <w:t xml:space="preserve">area </w:t>
      </w:r>
      <w:r w:rsidR="00BA6634">
        <w:t xml:space="preserve">(DWA, 2019; </w:t>
      </w:r>
      <w:r w:rsidR="00BA6634" w:rsidRPr="00BA6634">
        <w:t>Grotehusmann et al., 2015</w:t>
      </w:r>
      <w:r w:rsidR="00BA6634">
        <w:t>)</w:t>
      </w:r>
      <w:r w:rsidR="00CC4916">
        <w:t>. In dense urban environments, such spatial requirements constitute a major barrier to implementation.</w:t>
      </w:r>
    </w:p>
    <w:p w14:paraId="0A7F7010" w14:textId="6187AF96" w:rsidR="00CC4916" w:rsidRDefault="00CC4916" w:rsidP="00CC4916">
      <w:r>
        <w:t xml:space="preserve">To address this limitation, compact CSO-CWs are being developed </w:t>
      </w:r>
      <w:r w:rsidR="008F7FAE">
        <w:t>to substantially reduce</w:t>
      </w:r>
      <w:r>
        <w:t xml:space="preserve"> filter surface area while maintaining </w:t>
      </w:r>
      <w:r w:rsidR="00F872C5">
        <w:t>high</w:t>
      </w:r>
      <w:r>
        <w:t xml:space="preserve"> hydraulic and treatment performance. Increasing the area-related flow rate is the only viable design lever to reduce spatial footprint; however, higher hydraulic loading inevitably shortens hydraulic residence time and can impair pollutant removal. Consequently, optimisation measures are required to compensate for these performance losses.</w:t>
      </w:r>
    </w:p>
    <w:p w14:paraId="0F00A2F6" w14:textId="765E9E31" w:rsidR="00C31BFD" w:rsidRPr="005D6F11" w:rsidRDefault="00CC4916" w:rsidP="00CC4916">
      <w:r>
        <w:t>Two complementary strategies have been proposed for compact CSO-CWs: (</w:t>
      </w:r>
      <w:proofErr w:type="spellStart"/>
      <w:r>
        <w:t>i</w:t>
      </w:r>
      <w:proofErr w:type="spellEnd"/>
      <w:r>
        <w:t>) the use of alternative filter substrates with enhanced hydraulic conductivity and sorption capacities compared with conventional sand-based filters, and (ii) the addition of biodegradable flocculation agents (</w:t>
      </w:r>
      <w:r w:rsidR="00F872C5">
        <w:t>biopolymers</w:t>
      </w:r>
      <w:r>
        <w:t xml:space="preserve">) to the inflow to promote agglomeration and improved removal of particulate contaminants. The present study investigates both approaches through laboratory-scale and semi-technical experiments, aiming to identify suitable process combinations for compact </w:t>
      </w:r>
      <w:r w:rsidR="00E221E7">
        <w:t xml:space="preserve">CSO-CWs </w:t>
      </w:r>
      <w:r>
        <w:t>configurations.</w:t>
      </w:r>
    </w:p>
    <w:p w14:paraId="74099940" w14:textId="6674AFB1" w:rsidR="00C31BFD" w:rsidRPr="005D6F11" w:rsidRDefault="00CC4916" w:rsidP="009D500F">
      <w:pPr>
        <w:pStyle w:val="Titre1"/>
      </w:pPr>
      <w:r>
        <w:t>Methods</w:t>
      </w:r>
    </w:p>
    <w:p w14:paraId="2F49287C" w14:textId="72465E8F" w:rsidR="00C31BFD" w:rsidRDefault="00CC4916" w:rsidP="009D500F">
      <w:pPr>
        <w:pStyle w:val="Titre2"/>
      </w:pPr>
      <w:r>
        <w:t xml:space="preserve">Screening of </w:t>
      </w:r>
      <w:r w:rsidR="00DB07B8">
        <w:t>biopolymers</w:t>
      </w:r>
    </w:p>
    <w:p w14:paraId="6F8AB095" w14:textId="1A4F2F83" w:rsidR="00F872C5" w:rsidRPr="00F872C5" w:rsidRDefault="00F872C5" w:rsidP="00F872C5">
      <w:r w:rsidRPr="00F872C5">
        <w:t>A total of 16</w:t>
      </w:r>
      <w:r w:rsidR="00C772A9">
        <w:t xml:space="preserve"> </w:t>
      </w:r>
      <w:r>
        <w:t>biopolymers</w:t>
      </w:r>
      <w:r w:rsidRPr="00F872C5">
        <w:t xml:space="preserve"> </w:t>
      </w:r>
      <w:r w:rsidR="00C772A9">
        <w:t xml:space="preserve">based on </w:t>
      </w:r>
      <w:r w:rsidR="00C772A9" w:rsidRPr="00C772A9">
        <w:t xml:space="preserve">chitosan and potato starch </w:t>
      </w:r>
      <w:r w:rsidRPr="00F872C5">
        <w:t xml:space="preserve">were evaluated </w:t>
      </w:r>
      <w:r w:rsidR="008F7FAE">
        <w:t>in jar tests to assess their potential to enhance</w:t>
      </w:r>
      <w:r w:rsidRPr="00F872C5">
        <w:t xml:space="preserve"> particle aggregation under conditions representative of CSO discharges. </w:t>
      </w:r>
      <w:r w:rsidR="00C772A9">
        <w:t>A si</w:t>
      </w:r>
      <w:r w:rsidR="00C772A9" w:rsidRPr="000C33C7">
        <w:t>mplified initial pre-screening</w:t>
      </w:r>
      <w:r w:rsidR="00C772A9">
        <w:t xml:space="preserve"> was </w:t>
      </w:r>
      <w:r w:rsidR="00C772A9" w:rsidRPr="000C33C7">
        <w:t xml:space="preserve">followed by detailed optimisation of operating parameters (optimal concentrations and mixing conditions) of selected </w:t>
      </w:r>
      <w:r w:rsidR="00C772A9">
        <w:t>biopolymers</w:t>
      </w:r>
      <w:r w:rsidR="00C772A9" w:rsidRPr="000C33C7">
        <w:t>.</w:t>
      </w:r>
      <w:r w:rsidR="00C772A9">
        <w:t xml:space="preserve"> </w:t>
      </w:r>
      <w:r w:rsidRPr="00F872C5">
        <w:t>Turbidity</w:t>
      </w:r>
      <w:r w:rsidR="00C772A9">
        <w:t xml:space="preserve"> </w:t>
      </w:r>
      <w:r w:rsidRPr="00F872C5">
        <w:t>reduction was selected as the primary indicator of flocculation efficiency.</w:t>
      </w:r>
    </w:p>
    <w:p w14:paraId="602E44FB" w14:textId="06712AB8" w:rsidR="00CC4916" w:rsidRDefault="009844DD" w:rsidP="00CC4916">
      <w:pPr>
        <w:pStyle w:val="Titre2"/>
      </w:pPr>
      <w:r>
        <w:t>Small</w:t>
      </w:r>
      <w:r w:rsidR="00CC4916">
        <w:t xml:space="preserve">-scale </w:t>
      </w:r>
      <w:r w:rsidR="00F872C5">
        <w:t>column</w:t>
      </w:r>
      <w:r w:rsidR="00CC4916">
        <w:t xml:space="preserve"> tests</w:t>
      </w:r>
    </w:p>
    <w:p w14:paraId="3F41D008" w14:textId="3E5688D9" w:rsidR="00BA6634" w:rsidRDefault="00F872C5" w:rsidP="00F872C5">
      <w:r w:rsidRPr="00F872C5">
        <w:t xml:space="preserve">Six filter substrates with differing hydraulic and </w:t>
      </w:r>
      <w:proofErr w:type="spellStart"/>
      <w:r w:rsidRPr="00F872C5">
        <w:t>sorptive</w:t>
      </w:r>
      <w:proofErr w:type="spellEnd"/>
      <w:r w:rsidRPr="00F872C5">
        <w:t xml:space="preserve"> properties were selected for </w:t>
      </w:r>
      <w:r w:rsidR="00A32839">
        <w:t xml:space="preserve">an </w:t>
      </w:r>
      <w:r w:rsidRPr="00F872C5">
        <w:t xml:space="preserve">assessment in </w:t>
      </w:r>
      <w:r w:rsidR="009844DD">
        <w:t>small</w:t>
      </w:r>
      <w:r>
        <w:t>-scale</w:t>
      </w:r>
      <w:r w:rsidRPr="00F872C5">
        <w:t xml:space="preserve"> column tests</w:t>
      </w:r>
      <w:r w:rsidR="00A32839">
        <w:t xml:space="preserve"> (</w:t>
      </w:r>
      <w:r w:rsidR="00A32839">
        <w:fldChar w:fldCharType="begin"/>
      </w:r>
      <w:r w:rsidR="00A32839">
        <w:instrText xml:space="preserve"> REF _Ref215060957 \h </w:instrText>
      </w:r>
      <w:r w:rsidR="00A32839">
        <w:fldChar w:fldCharType="separate"/>
      </w:r>
      <w:r w:rsidR="00A32839">
        <w:t>Table </w:t>
      </w:r>
      <w:r w:rsidR="00A32839">
        <w:rPr>
          <w:noProof/>
        </w:rPr>
        <w:t>1</w:t>
      </w:r>
      <w:r w:rsidR="00A32839">
        <w:fldChar w:fldCharType="end"/>
      </w:r>
      <w:r w:rsidR="00A32839">
        <w:t>)</w:t>
      </w:r>
      <w:r w:rsidRPr="00F872C5">
        <w:t xml:space="preserve">. All substrates were tested </w:t>
      </w:r>
      <w:r w:rsidR="00E95F74">
        <w:t xml:space="preserve">as replicate </w:t>
      </w:r>
      <w:r w:rsidRPr="00F872C5">
        <w:t>at elevated area-related flow rates</w:t>
      </w:r>
      <w:r w:rsidR="0097746D">
        <w:t xml:space="preserve"> (0.1 L s</w:t>
      </w:r>
      <w:r w:rsidR="0097746D" w:rsidRPr="0097746D">
        <w:rPr>
          <w:vertAlign w:val="superscript"/>
        </w:rPr>
        <w:t>-</w:t>
      </w:r>
      <w:r w:rsidR="0097746D">
        <w:rPr>
          <w:vertAlign w:val="superscript"/>
        </w:rPr>
        <w:t>‍</w:t>
      </w:r>
      <w:r w:rsidR="0097746D" w:rsidRPr="0097746D">
        <w:rPr>
          <w:vertAlign w:val="superscript"/>
        </w:rPr>
        <w:t>1</w:t>
      </w:r>
      <w:r w:rsidR="0097746D">
        <w:t> m</w:t>
      </w:r>
      <w:r w:rsidR="0097746D" w:rsidRPr="0097746D">
        <w:rPr>
          <w:vertAlign w:val="superscript"/>
        </w:rPr>
        <w:t>-2</w:t>
      </w:r>
      <w:r w:rsidR="0097746D">
        <w:t>)</w:t>
      </w:r>
      <w:r w:rsidRPr="00F872C5">
        <w:t xml:space="preserve"> representative of compact CSO-CW operation</w:t>
      </w:r>
      <w:r w:rsidR="00A32839">
        <w:t xml:space="preserve">, </w:t>
      </w:r>
      <w:r w:rsidR="00A32839" w:rsidRPr="00A32839">
        <w:t>except for columns 1 and 2, which were operated as reference CSO-CW</w:t>
      </w:r>
      <w:r w:rsidR="0097746D">
        <w:t xml:space="preserve"> (0.05 L s</w:t>
      </w:r>
      <w:r w:rsidR="0097746D" w:rsidRPr="0097746D">
        <w:rPr>
          <w:vertAlign w:val="superscript"/>
        </w:rPr>
        <w:t>-</w:t>
      </w:r>
      <w:r w:rsidR="0097746D">
        <w:rPr>
          <w:vertAlign w:val="superscript"/>
        </w:rPr>
        <w:t>‍</w:t>
      </w:r>
      <w:r w:rsidR="0097746D" w:rsidRPr="0097746D">
        <w:rPr>
          <w:vertAlign w:val="superscript"/>
        </w:rPr>
        <w:t>1</w:t>
      </w:r>
      <w:r w:rsidR="0097746D">
        <w:t> m</w:t>
      </w:r>
      <w:r w:rsidR="0097746D" w:rsidRPr="0097746D">
        <w:rPr>
          <w:vertAlign w:val="superscript"/>
        </w:rPr>
        <w:t>-2</w:t>
      </w:r>
      <w:r w:rsidR="0097746D">
        <w:t>)</w:t>
      </w:r>
      <w:r w:rsidR="00A32839" w:rsidRPr="00A32839">
        <w:t>.</w:t>
      </w:r>
      <w:r w:rsidRPr="00F872C5">
        <w:t xml:space="preserve"> Influent water characteristics were </w:t>
      </w:r>
      <w:r w:rsidR="00A32839">
        <w:t>adjusted</w:t>
      </w:r>
      <w:r w:rsidRPr="00F872C5">
        <w:t xml:space="preserve"> to mirror typical </w:t>
      </w:r>
      <w:r w:rsidR="00A32839">
        <w:t>CSO</w:t>
      </w:r>
      <w:r w:rsidRPr="00F872C5">
        <w:t xml:space="preserve"> conditions</w:t>
      </w:r>
      <w:r w:rsidR="00A32839">
        <w:t xml:space="preserve"> by using the effluent of the primary clarifier (20 %) and the effluent of the </w:t>
      </w:r>
      <w:r w:rsidR="00E17DFD">
        <w:t>wastewater</w:t>
      </w:r>
      <w:r w:rsidR="00A32839">
        <w:t xml:space="preserve"> treatment plant (80 %)</w:t>
      </w:r>
      <w:r w:rsidRPr="00F872C5">
        <w:t>. Removal performance was assessed for key parameters</w:t>
      </w:r>
      <w:r w:rsidR="007A7119">
        <w:t>,</w:t>
      </w:r>
      <w:r w:rsidRPr="00F872C5">
        <w:t xml:space="preserve"> including turbidity, chemical oxygen demand (COD), </w:t>
      </w:r>
      <w:r w:rsidR="00AD69A5">
        <w:t xml:space="preserve">total organic carbon (TOC), dissolved organic carbon (DOC), </w:t>
      </w:r>
      <w:r w:rsidRPr="00F872C5">
        <w:t>ammonium-nitrogen (N</w:t>
      </w:r>
      <w:r w:rsidR="00E17DFD">
        <w:t>H</w:t>
      </w:r>
      <w:r w:rsidR="00E17DFD" w:rsidRPr="00E17DFD">
        <w:rPr>
          <w:vertAlign w:val="subscript"/>
        </w:rPr>
        <w:t>4</w:t>
      </w:r>
      <w:r w:rsidRPr="00F872C5">
        <w:t>-N)</w:t>
      </w:r>
      <w:r w:rsidR="009B744D">
        <w:t>, ortho-phosphate (o-PO</w:t>
      </w:r>
      <w:r w:rsidR="009B744D" w:rsidRPr="009B744D">
        <w:rPr>
          <w:vertAlign w:val="subscript"/>
        </w:rPr>
        <w:t>4</w:t>
      </w:r>
      <w:r w:rsidR="009B744D">
        <w:t xml:space="preserve">-P), </w:t>
      </w:r>
      <w:r w:rsidRPr="00F872C5">
        <w:t>total suspended solids (TSS)</w:t>
      </w:r>
      <w:r w:rsidR="009B744D">
        <w:t>, and their fine fraction smaller than 63 µm (TSS</w:t>
      </w:r>
      <w:r w:rsidR="009B744D" w:rsidRPr="009B744D">
        <w:rPr>
          <w:vertAlign w:val="subscript"/>
        </w:rPr>
        <w:t>63</w:t>
      </w:r>
      <w:r w:rsidR="009B744D">
        <w:t>)</w:t>
      </w:r>
      <w:r w:rsidRPr="00F872C5">
        <w:t xml:space="preserve">. Columns were operated without </w:t>
      </w:r>
      <w:r w:rsidR="00A32839">
        <w:t>biopolymer</w:t>
      </w:r>
      <w:r w:rsidRPr="00F872C5">
        <w:t xml:space="preserve"> addition to independently assess substrate effectiveness under increased hydraulic loading</w:t>
      </w:r>
      <w:r w:rsidR="009B744D">
        <w:t xml:space="preserve"> and with biopolymer dosing to assess biopolymer effectiveness for different substrates</w:t>
      </w:r>
      <w:r w:rsidRPr="00F872C5">
        <w:t>.</w:t>
      </w:r>
    </w:p>
    <w:p w14:paraId="13F553B0" w14:textId="77777777" w:rsidR="00BA6634" w:rsidRDefault="00BA6634" w:rsidP="00BA6634">
      <w:pPr>
        <w:pStyle w:val="Titre2"/>
      </w:pPr>
      <w:r>
        <w:t>Semi-technical pilot tests</w:t>
      </w:r>
    </w:p>
    <w:p w14:paraId="7ACFFD90" w14:textId="70D051F9" w:rsidR="00BA6634" w:rsidRDefault="00BA6634" w:rsidP="00BA6634">
      <w:pPr>
        <w:widowControl/>
        <w:spacing w:before="0"/>
        <w:jc w:val="left"/>
      </w:pPr>
      <w:r w:rsidRPr="004E16A1">
        <w:t>Four semi-technical compact CSO-CWs (3.72</w:t>
      </w:r>
      <w:r>
        <w:t> m</w:t>
      </w:r>
      <w:r w:rsidR="00121882">
        <w:t>²</w:t>
      </w:r>
      <w:r w:rsidRPr="004E16A1">
        <w:t xml:space="preserve"> each) were operated to assess treatment performance under increased hydraulic loading. All systems were constructed according to the North Rhine-Westphalia design manual for constructed wetlands treating combined sewer overflows, comprising a 25</w:t>
      </w:r>
      <w:r>
        <w:t> </w:t>
      </w:r>
      <w:r w:rsidRPr="004E16A1">
        <w:t>cm drainage layer (2/8</w:t>
      </w:r>
      <w:r>
        <w:t> </w:t>
      </w:r>
      <w:r w:rsidRPr="004E16A1">
        <w:t>mm gravel), a 70</w:t>
      </w:r>
      <w:r>
        <w:t> </w:t>
      </w:r>
      <w:r w:rsidRPr="004E16A1">
        <w:t xml:space="preserve">cm filter </w:t>
      </w:r>
      <w:r>
        <w:t xml:space="preserve">substrate </w:t>
      </w:r>
      <w:r w:rsidRPr="004E16A1">
        <w:t>layer, and a 6</w:t>
      </w:r>
      <w:r>
        <w:t> </w:t>
      </w:r>
      <w:r w:rsidRPr="004E16A1">
        <w:t>cm top layer of dolomitic limestone (2</w:t>
      </w:r>
      <w:r>
        <w:t>/</w:t>
      </w:r>
      <w:r w:rsidRPr="004E16A1">
        <w:t>8</w:t>
      </w:r>
      <w:r>
        <w:t> </w:t>
      </w:r>
      <w:r w:rsidRPr="004E16A1">
        <w:t>mm)</w:t>
      </w:r>
      <w:r>
        <w:t xml:space="preserve"> (</w:t>
      </w:r>
      <w:r w:rsidRPr="00F03D82">
        <w:t>Grotehusmann et al., 2015</w:t>
      </w:r>
      <w:r>
        <w:t>)</w:t>
      </w:r>
      <w:r w:rsidRPr="004E16A1">
        <w:t xml:space="preserve">. Three </w:t>
      </w:r>
      <w:r>
        <w:t>pilots</w:t>
      </w:r>
      <w:r w:rsidRPr="004E16A1">
        <w:t xml:space="preserve"> were filled with sand</w:t>
      </w:r>
      <w:r>
        <w:t xml:space="preserve"> (0/2 mm) as filter substrate</w:t>
      </w:r>
      <w:r w:rsidRPr="004E16A1">
        <w:t xml:space="preserve">, while </w:t>
      </w:r>
      <w:r w:rsidR="007A7119">
        <w:t xml:space="preserve">the </w:t>
      </w:r>
      <w:r>
        <w:t>pilot</w:t>
      </w:r>
      <w:r w:rsidRPr="004E16A1">
        <w:t xml:space="preserve"> was equipped with a gravel (2/8</w:t>
      </w:r>
      <w:r>
        <w:t> </w:t>
      </w:r>
      <w:r w:rsidRPr="004E16A1">
        <w:t xml:space="preserve">mm) filter. Two </w:t>
      </w:r>
      <w:r>
        <w:t xml:space="preserve">pilots </w:t>
      </w:r>
      <w:r w:rsidR="007A7119">
        <w:t xml:space="preserve">also </w:t>
      </w:r>
      <w:r>
        <w:t>operated in a former research project</w:t>
      </w:r>
      <w:r w:rsidRPr="004E16A1">
        <w:t xml:space="preserve"> contained an additional 8</w:t>
      </w:r>
      <w:r>
        <w:t> </w:t>
      </w:r>
      <w:r w:rsidRPr="004E16A1">
        <w:t>cm secondary organic layer originating from a previous full-scale CSO-CW</w:t>
      </w:r>
      <w:r>
        <w:t>.</w:t>
      </w:r>
    </w:p>
    <w:p w14:paraId="57F574BB" w14:textId="77777777" w:rsidR="00BA6634" w:rsidRDefault="00BA6634" w:rsidP="00BA6634">
      <w:pPr>
        <w:widowControl/>
        <w:spacing w:before="0"/>
        <w:jc w:val="left"/>
      </w:pPr>
    </w:p>
    <w:p w14:paraId="16460679" w14:textId="7B760CA5" w:rsidR="00BA6634" w:rsidRDefault="00BA6634" w:rsidP="00BA6634">
      <w:pPr>
        <w:widowControl/>
        <w:spacing w:before="0"/>
        <w:jc w:val="left"/>
      </w:pPr>
      <w:r>
        <w:br w:type="page"/>
      </w:r>
    </w:p>
    <w:p w14:paraId="11306CE9" w14:textId="27715589" w:rsidR="00C772A9" w:rsidRPr="00C772A9" w:rsidRDefault="00C772A9" w:rsidP="00E95F74">
      <w:pPr>
        <w:pStyle w:val="Legendes"/>
      </w:pPr>
      <w:bookmarkStart w:id="0" w:name="_Ref215060957"/>
      <w:r>
        <w:lastRenderedPageBreak/>
        <w:t>Table </w:t>
      </w:r>
      <w:r>
        <w:fldChar w:fldCharType="begin"/>
      </w:r>
      <w:r>
        <w:instrText xml:space="preserve"> SEQ Table \* ARABIC </w:instrText>
      </w:r>
      <w:r>
        <w:fldChar w:fldCharType="separate"/>
      </w:r>
      <w:r>
        <w:rPr>
          <w:noProof/>
        </w:rPr>
        <w:t>1</w:t>
      </w:r>
      <w:r>
        <w:fldChar w:fldCharType="end"/>
      </w:r>
      <w:bookmarkEnd w:id="0"/>
      <w:r w:rsidR="00E95F74">
        <w:t xml:space="preserve">: </w:t>
      </w:r>
      <w:r w:rsidR="00E95F74" w:rsidRPr="00E95F74">
        <w:t>Investigated filter substrates and experimental design in the small-scale columns. C=column.</w:t>
      </w:r>
    </w:p>
    <w:tbl>
      <w:tblPr>
        <w:tblStyle w:val="Grilledutableau"/>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993"/>
        <w:gridCol w:w="2427"/>
        <w:gridCol w:w="1883"/>
        <w:gridCol w:w="1884"/>
        <w:gridCol w:w="1884"/>
      </w:tblGrid>
      <w:tr w:rsidR="00C772A9" w:rsidRPr="00E95F74" w14:paraId="586B0AF3" w14:textId="77777777" w:rsidTr="005940D7">
        <w:trPr>
          <w:trHeight w:val="227"/>
        </w:trPr>
        <w:tc>
          <w:tcPr>
            <w:tcW w:w="993" w:type="dxa"/>
            <w:tcBorders>
              <w:top w:val="none" w:sz="4" w:space="0" w:color="000000"/>
              <w:bottom w:val="none" w:sz="4" w:space="0" w:color="000000"/>
            </w:tcBorders>
            <w:shd w:val="clear" w:color="auto" w:fill="D9D9D9" w:themeFill="background1" w:themeFillShade="D9"/>
            <w:vAlign w:val="center"/>
          </w:tcPr>
          <w:p w14:paraId="15AB67ED" w14:textId="77777777" w:rsidR="00C772A9" w:rsidRPr="00E95F74" w:rsidRDefault="00C772A9" w:rsidP="005940D7">
            <w:pPr>
              <w:spacing w:before="0" w:after="0" w:line="240" w:lineRule="auto"/>
              <w:jc w:val="left"/>
              <w:rPr>
                <w:b/>
                <w:sz w:val="18"/>
                <w:szCs w:val="18"/>
              </w:rPr>
            </w:pPr>
            <w:r w:rsidRPr="00E95F74">
              <w:rPr>
                <w:b/>
                <w:sz w:val="18"/>
                <w:szCs w:val="18"/>
              </w:rPr>
              <w:t>Column</w:t>
            </w:r>
          </w:p>
        </w:tc>
        <w:tc>
          <w:tcPr>
            <w:tcW w:w="2427" w:type="dxa"/>
            <w:tcBorders>
              <w:top w:val="none" w:sz="4" w:space="0" w:color="000000"/>
              <w:bottom w:val="none" w:sz="4" w:space="0" w:color="000000"/>
            </w:tcBorders>
            <w:shd w:val="clear" w:color="auto" w:fill="D9D9D9" w:themeFill="background1" w:themeFillShade="D9"/>
            <w:vAlign w:val="center"/>
          </w:tcPr>
          <w:p w14:paraId="6BBEBC0C" w14:textId="77777777" w:rsidR="00C772A9" w:rsidRPr="00E95F74" w:rsidRDefault="00C772A9" w:rsidP="005940D7">
            <w:pPr>
              <w:spacing w:before="0" w:after="0" w:line="240" w:lineRule="auto"/>
              <w:jc w:val="left"/>
              <w:rPr>
                <w:b/>
                <w:sz w:val="18"/>
                <w:szCs w:val="18"/>
              </w:rPr>
            </w:pPr>
            <w:r w:rsidRPr="00E95F74">
              <w:rPr>
                <w:b/>
                <w:sz w:val="18"/>
                <w:szCs w:val="18"/>
              </w:rPr>
              <w:t>Filter substrate</w:t>
            </w:r>
          </w:p>
        </w:tc>
        <w:tc>
          <w:tcPr>
            <w:tcW w:w="1883" w:type="dxa"/>
            <w:tcBorders>
              <w:top w:val="none" w:sz="4" w:space="0" w:color="000000"/>
              <w:bottom w:val="none" w:sz="4" w:space="0" w:color="000000"/>
            </w:tcBorders>
            <w:shd w:val="clear" w:color="auto" w:fill="D9D9D9" w:themeFill="background1" w:themeFillShade="D9"/>
            <w:vAlign w:val="center"/>
          </w:tcPr>
          <w:p w14:paraId="0F41071B" w14:textId="77777777" w:rsidR="00C772A9" w:rsidRPr="00E95F74" w:rsidRDefault="00C772A9" w:rsidP="005940D7">
            <w:pPr>
              <w:spacing w:before="0" w:after="0" w:line="240" w:lineRule="auto"/>
              <w:jc w:val="left"/>
              <w:rPr>
                <w:b/>
                <w:sz w:val="18"/>
                <w:szCs w:val="18"/>
              </w:rPr>
            </w:pPr>
            <w:r w:rsidRPr="00E95F74">
              <w:rPr>
                <w:b/>
                <w:sz w:val="18"/>
                <w:szCs w:val="18"/>
              </w:rPr>
              <w:t>Identifier</w:t>
            </w:r>
          </w:p>
        </w:tc>
        <w:tc>
          <w:tcPr>
            <w:tcW w:w="1884" w:type="dxa"/>
            <w:tcBorders>
              <w:top w:val="none" w:sz="4" w:space="0" w:color="000000"/>
              <w:bottom w:val="none" w:sz="4" w:space="0" w:color="000000"/>
            </w:tcBorders>
            <w:shd w:val="clear" w:color="auto" w:fill="D9D9D9" w:themeFill="background1" w:themeFillShade="D9"/>
            <w:vAlign w:val="center"/>
          </w:tcPr>
          <w:p w14:paraId="4CBA5C44" w14:textId="77777777" w:rsidR="00C772A9" w:rsidRPr="00E95F74" w:rsidRDefault="00C772A9" w:rsidP="005940D7">
            <w:pPr>
              <w:spacing w:before="0" w:after="0" w:line="240" w:lineRule="auto"/>
              <w:jc w:val="left"/>
              <w:rPr>
                <w:b/>
                <w:sz w:val="18"/>
                <w:szCs w:val="18"/>
              </w:rPr>
            </w:pPr>
            <w:r w:rsidRPr="00E95F74">
              <w:rPr>
                <w:b/>
                <w:sz w:val="18"/>
                <w:szCs w:val="18"/>
              </w:rPr>
              <w:t>Grain size</w:t>
            </w:r>
          </w:p>
        </w:tc>
        <w:tc>
          <w:tcPr>
            <w:tcW w:w="1884" w:type="dxa"/>
            <w:tcBorders>
              <w:top w:val="none" w:sz="4" w:space="0" w:color="000000"/>
              <w:bottom w:val="none" w:sz="4" w:space="0" w:color="000000"/>
            </w:tcBorders>
            <w:shd w:val="clear" w:color="auto" w:fill="D9D9D9" w:themeFill="background1" w:themeFillShade="D9"/>
            <w:vAlign w:val="center"/>
          </w:tcPr>
          <w:p w14:paraId="24728528" w14:textId="77777777" w:rsidR="00C772A9" w:rsidRPr="00E95F74" w:rsidRDefault="00C772A9" w:rsidP="005940D7">
            <w:pPr>
              <w:spacing w:before="0" w:after="0" w:line="240" w:lineRule="auto"/>
              <w:jc w:val="left"/>
              <w:rPr>
                <w:b/>
                <w:sz w:val="18"/>
                <w:szCs w:val="18"/>
              </w:rPr>
            </w:pPr>
            <w:r w:rsidRPr="00E95F74">
              <w:rPr>
                <w:b/>
                <w:sz w:val="18"/>
                <w:szCs w:val="18"/>
              </w:rPr>
              <w:t>Flow rate</w:t>
            </w:r>
          </w:p>
        </w:tc>
      </w:tr>
      <w:tr w:rsidR="00C772A9" w:rsidRPr="00E95F74" w14:paraId="5F5983D0" w14:textId="77777777" w:rsidTr="005940D7">
        <w:trPr>
          <w:trHeight w:val="227"/>
        </w:trPr>
        <w:tc>
          <w:tcPr>
            <w:tcW w:w="993" w:type="dxa"/>
            <w:tcBorders>
              <w:top w:val="none" w:sz="4" w:space="0" w:color="000000"/>
              <w:bottom w:val="single" w:sz="12" w:space="0" w:color="000000"/>
            </w:tcBorders>
            <w:shd w:val="clear" w:color="auto" w:fill="D9D9D9" w:themeFill="background1" w:themeFillShade="D9"/>
            <w:vAlign w:val="center"/>
          </w:tcPr>
          <w:p w14:paraId="1D8FE7B1" w14:textId="77777777" w:rsidR="00C772A9" w:rsidRPr="00E95F74" w:rsidRDefault="00C772A9" w:rsidP="005940D7">
            <w:pPr>
              <w:spacing w:before="0" w:after="0" w:line="240" w:lineRule="auto"/>
              <w:jc w:val="left"/>
              <w:rPr>
                <w:sz w:val="18"/>
                <w:szCs w:val="18"/>
              </w:rPr>
            </w:pPr>
            <w:r w:rsidRPr="00E95F74">
              <w:rPr>
                <w:sz w:val="18"/>
                <w:szCs w:val="18"/>
              </w:rPr>
              <w:t>–</w:t>
            </w:r>
          </w:p>
        </w:tc>
        <w:tc>
          <w:tcPr>
            <w:tcW w:w="2427" w:type="dxa"/>
            <w:tcBorders>
              <w:top w:val="none" w:sz="4" w:space="0" w:color="000000"/>
              <w:bottom w:val="single" w:sz="12" w:space="0" w:color="000000"/>
            </w:tcBorders>
            <w:shd w:val="clear" w:color="auto" w:fill="D9D9D9" w:themeFill="background1" w:themeFillShade="D9"/>
            <w:vAlign w:val="center"/>
          </w:tcPr>
          <w:p w14:paraId="34B83BDB" w14:textId="77777777" w:rsidR="00C772A9" w:rsidRPr="00E95F74" w:rsidRDefault="00C772A9" w:rsidP="005940D7">
            <w:pPr>
              <w:spacing w:before="0" w:after="0" w:line="240" w:lineRule="auto"/>
              <w:jc w:val="left"/>
              <w:rPr>
                <w:sz w:val="18"/>
                <w:szCs w:val="18"/>
              </w:rPr>
            </w:pPr>
            <w:r w:rsidRPr="00E95F74">
              <w:rPr>
                <w:sz w:val="18"/>
                <w:szCs w:val="18"/>
              </w:rPr>
              <w:t>–</w:t>
            </w:r>
          </w:p>
        </w:tc>
        <w:tc>
          <w:tcPr>
            <w:tcW w:w="1883" w:type="dxa"/>
            <w:tcBorders>
              <w:top w:val="none" w:sz="4" w:space="0" w:color="000000"/>
              <w:bottom w:val="single" w:sz="12" w:space="0" w:color="000000"/>
            </w:tcBorders>
            <w:shd w:val="clear" w:color="auto" w:fill="D9D9D9" w:themeFill="background1" w:themeFillShade="D9"/>
            <w:vAlign w:val="center"/>
          </w:tcPr>
          <w:p w14:paraId="1ADD1023" w14:textId="77777777" w:rsidR="00C772A9" w:rsidRPr="00E95F74" w:rsidRDefault="00C772A9" w:rsidP="005940D7">
            <w:pPr>
              <w:spacing w:before="0" w:after="0" w:line="240" w:lineRule="auto"/>
              <w:jc w:val="left"/>
              <w:rPr>
                <w:b/>
                <w:sz w:val="18"/>
                <w:szCs w:val="18"/>
              </w:rPr>
            </w:pPr>
            <w:r w:rsidRPr="00E95F74">
              <w:rPr>
                <w:b/>
                <w:sz w:val="18"/>
                <w:szCs w:val="18"/>
              </w:rPr>
              <w:t>–</w:t>
            </w:r>
          </w:p>
        </w:tc>
        <w:tc>
          <w:tcPr>
            <w:tcW w:w="1884" w:type="dxa"/>
            <w:tcBorders>
              <w:top w:val="none" w:sz="4" w:space="0" w:color="000000"/>
              <w:bottom w:val="single" w:sz="12" w:space="0" w:color="000000"/>
            </w:tcBorders>
            <w:shd w:val="clear" w:color="auto" w:fill="D9D9D9" w:themeFill="background1" w:themeFillShade="D9"/>
            <w:vAlign w:val="center"/>
          </w:tcPr>
          <w:p w14:paraId="2DC0BE72" w14:textId="77777777" w:rsidR="00C772A9" w:rsidRPr="00E95F74" w:rsidRDefault="00C772A9" w:rsidP="005940D7">
            <w:pPr>
              <w:spacing w:before="0" w:after="0" w:line="240" w:lineRule="auto"/>
              <w:jc w:val="left"/>
              <w:rPr>
                <w:sz w:val="18"/>
                <w:szCs w:val="18"/>
              </w:rPr>
            </w:pPr>
            <w:r w:rsidRPr="00E95F74">
              <w:rPr>
                <w:sz w:val="18"/>
                <w:szCs w:val="18"/>
              </w:rPr>
              <w:t>mm</w:t>
            </w:r>
          </w:p>
        </w:tc>
        <w:tc>
          <w:tcPr>
            <w:tcW w:w="1884" w:type="dxa"/>
            <w:tcBorders>
              <w:top w:val="none" w:sz="4" w:space="0" w:color="000000"/>
              <w:bottom w:val="single" w:sz="12" w:space="0" w:color="000000"/>
            </w:tcBorders>
            <w:shd w:val="clear" w:color="auto" w:fill="D9D9D9" w:themeFill="background1" w:themeFillShade="D9"/>
            <w:vAlign w:val="center"/>
          </w:tcPr>
          <w:p w14:paraId="5656E9F0" w14:textId="77777777" w:rsidR="00C772A9" w:rsidRPr="00E95F74" w:rsidRDefault="00C772A9" w:rsidP="005940D7">
            <w:pPr>
              <w:spacing w:before="0" w:after="0" w:line="240" w:lineRule="auto"/>
              <w:jc w:val="left"/>
              <w:rPr>
                <w:sz w:val="18"/>
                <w:szCs w:val="18"/>
              </w:rPr>
            </w:pPr>
            <w:r w:rsidRPr="00E95F74">
              <w:rPr>
                <w:sz w:val="18"/>
                <w:szCs w:val="18"/>
              </w:rPr>
              <w:t>L s</w:t>
            </w:r>
            <w:r w:rsidRPr="00E95F74">
              <w:rPr>
                <w:sz w:val="18"/>
                <w:szCs w:val="18"/>
                <w:vertAlign w:val="superscript"/>
              </w:rPr>
              <w:t>-1</w:t>
            </w:r>
            <w:r w:rsidRPr="00E95F74">
              <w:rPr>
                <w:sz w:val="18"/>
                <w:szCs w:val="18"/>
              </w:rPr>
              <w:t xml:space="preserve"> m</w:t>
            </w:r>
            <w:r w:rsidRPr="00E95F74">
              <w:rPr>
                <w:sz w:val="18"/>
                <w:szCs w:val="18"/>
                <w:vertAlign w:val="superscript"/>
              </w:rPr>
              <w:t>-2</w:t>
            </w:r>
          </w:p>
        </w:tc>
      </w:tr>
      <w:tr w:rsidR="00C772A9" w:rsidRPr="00E95F74" w14:paraId="08025B5A" w14:textId="77777777" w:rsidTr="00A32839">
        <w:trPr>
          <w:trHeight w:val="340"/>
        </w:trPr>
        <w:tc>
          <w:tcPr>
            <w:tcW w:w="993" w:type="dxa"/>
            <w:tcBorders>
              <w:top w:val="single" w:sz="12" w:space="0" w:color="000000"/>
            </w:tcBorders>
            <w:vAlign w:val="center"/>
          </w:tcPr>
          <w:p w14:paraId="0822A46C" w14:textId="77777777" w:rsidR="00C772A9" w:rsidRPr="00E95F74" w:rsidRDefault="00C772A9" w:rsidP="005940D7">
            <w:pPr>
              <w:spacing w:before="0" w:after="0" w:line="240" w:lineRule="auto"/>
              <w:jc w:val="left"/>
              <w:rPr>
                <w:sz w:val="18"/>
                <w:szCs w:val="18"/>
              </w:rPr>
            </w:pPr>
            <w:r w:rsidRPr="00E95F74">
              <w:rPr>
                <w:sz w:val="18"/>
                <w:szCs w:val="18"/>
              </w:rPr>
              <w:t>C1/2</w:t>
            </w:r>
          </w:p>
        </w:tc>
        <w:tc>
          <w:tcPr>
            <w:tcW w:w="2427" w:type="dxa"/>
            <w:tcBorders>
              <w:top w:val="single" w:sz="12" w:space="0" w:color="000000"/>
            </w:tcBorders>
            <w:vAlign w:val="center"/>
          </w:tcPr>
          <w:p w14:paraId="340A7F41" w14:textId="7D69A26A" w:rsidR="00C772A9" w:rsidRPr="00E95F74" w:rsidRDefault="00C772A9" w:rsidP="005940D7">
            <w:pPr>
              <w:spacing w:before="0" w:after="0" w:line="240" w:lineRule="auto"/>
              <w:jc w:val="left"/>
              <w:rPr>
                <w:sz w:val="18"/>
                <w:szCs w:val="18"/>
              </w:rPr>
            </w:pPr>
            <w:r w:rsidRPr="00E95F74">
              <w:rPr>
                <w:sz w:val="18"/>
                <w:szCs w:val="18"/>
              </w:rPr>
              <w:t>Sand (Reference CSO-CW)</w:t>
            </w:r>
          </w:p>
        </w:tc>
        <w:tc>
          <w:tcPr>
            <w:tcW w:w="1883" w:type="dxa"/>
            <w:tcBorders>
              <w:top w:val="single" w:sz="12" w:space="0" w:color="000000"/>
            </w:tcBorders>
            <w:vAlign w:val="center"/>
          </w:tcPr>
          <w:p w14:paraId="11C0A70D" w14:textId="77777777" w:rsidR="00C772A9" w:rsidRPr="00E95F74" w:rsidRDefault="00C772A9" w:rsidP="005940D7">
            <w:pPr>
              <w:spacing w:before="0" w:after="0" w:line="240" w:lineRule="auto"/>
              <w:jc w:val="left"/>
              <w:rPr>
                <w:sz w:val="18"/>
                <w:szCs w:val="18"/>
              </w:rPr>
            </w:pPr>
            <w:r w:rsidRPr="00E95F74">
              <w:rPr>
                <w:sz w:val="18"/>
                <w:szCs w:val="18"/>
              </w:rPr>
              <w:t>S1</w:t>
            </w:r>
          </w:p>
        </w:tc>
        <w:tc>
          <w:tcPr>
            <w:tcW w:w="1884" w:type="dxa"/>
            <w:tcBorders>
              <w:top w:val="single" w:sz="12" w:space="0" w:color="000000"/>
            </w:tcBorders>
            <w:vAlign w:val="center"/>
          </w:tcPr>
          <w:p w14:paraId="26D5474F" w14:textId="77777777" w:rsidR="00C772A9" w:rsidRPr="00E95F74" w:rsidRDefault="00C772A9" w:rsidP="005940D7">
            <w:pPr>
              <w:spacing w:before="0" w:after="0" w:line="240" w:lineRule="auto"/>
              <w:jc w:val="left"/>
              <w:rPr>
                <w:sz w:val="18"/>
                <w:szCs w:val="18"/>
              </w:rPr>
            </w:pPr>
            <w:r w:rsidRPr="00E95F74">
              <w:rPr>
                <w:sz w:val="18"/>
                <w:szCs w:val="18"/>
              </w:rPr>
              <w:t>0/2</w:t>
            </w:r>
          </w:p>
        </w:tc>
        <w:tc>
          <w:tcPr>
            <w:tcW w:w="1884" w:type="dxa"/>
            <w:tcBorders>
              <w:top w:val="single" w:sz="12" w:space="0" w:color="000000"/>
            </w:tcBorders>
            <w:vAlign w:val="center"/>
          </w:tcPr>
          <w:p w14:paraId="5F1D7445" w14:textId="77777777" w:rsidR="00C772A9" w:rsidRPr="00E95F74" w:rsidRDefault="00C772A9" w:rsidP="005940D7">
            <w:pPr>
              <w:spacing w:before="0" w:after="0" w:line="240" w:lineRule="auto"/>
              <w:jc w:val="left"/>
              <w:rPr>
                <w:sz w:val="18"/>
                <w:szCs w:val="18"/>
              </w:rPr>
            </w:pPr>
            <w:r w:rsidRPr="00E95F74">
              <w:rPr>
                <w:sz w:val="18"/>
                <w:szCs w:val="18"/>
              </w:rPr>
              <w:t>0.05</w:t>
            </w:r>
          </w:p>
        </w:tc>
      </w:tr>
      <w:tr w:rsidR="00C772A9" w:rsidRPr="00E95F74" w14:paraId="2E8A6030" w14:textId="77777777" w:rsidTr="00A32839">
        <w:trPr>
          <w:trHeight w:val="340"/>
        </w:trPr>
        <w:tc>
          <w:tcPr>
            <w:tcW w:w="993" w:type="dxa"/>
            <w:vAlign w:val="center"/>
          </w:tcPr>
          <w:p w14:paraId="5D774ED4" w14:textId="77777777" w:rsidR="00C772A9" w:rsidRPr="00E95F74" w:rsidRDefault="00C772A9" w:rsidP="005940D7">
            <w:pPr>
              <w:spacing w:before="0" w:after="0" w:line="240" w:lineRule="auto"/>
              <w:jc w:val="left"/>
              <w:rPr>
                <w:sz w:val="18"/>
                <w:szCs w:val="18"/>
              </w:rPr>
            </w:pPr>
            <w:r w:rsidRPr="00E95F74">
              <w:rPr>
                <w:sz w:val="18"/>
                <w:szCs w:val="18"/>
              </w:rPr>
              <w:t>C3/4</w:t>
            </w:r>
          </w:p>
        </w:tc>
        <w:tc>
          <w:tcPr>
            <w:tcW w:w="2427" w:type="dxa"/>
            <w:vAlign w:val="center"/>
          </w:tcPr>
          <w:p w14:paraId="451811A1" w14:textId="77777777" w:rsidR="00C772A9" w:rsidRPr="00E95F74" w:rsidRDefault="00C772A9" w:rsidP="005940D7">
            <w:pPr>
              <w:spacing w:before="0" w:after="0" w:line="240" w:lineRule="auto"/>
              <w:jc w:val="left"/>
              <w:rPr>
                <w:sz w:val="18"/>
                <w:szCs w:val="18"/>
              </w:rPr>
            </w:pPr>
            <w:r w:rsidRPr="00E95F74">
              <w:rPr>
                <w:sz w:val="18"/>
                <w:szCs w:val="18"/>
              </w:rPr>
              <w:t>Sand</w:t>
            </w:r>
          </w:p>
        </w:tc>
        <w:tc>
          <w:tcPr>
            <w:tcW w:w="1883" w:type="dxa"/>
            <w:vAlign w:val="center"/>
          </w:tcPr>
          <w:p w14:paraId="47691592" w14:textId="77777777" w:rsidR="00C772A9" w:rsidRPr="00E95F74" w:rsidRDefault="00C772A9" w:rsidP="005940D7">
            <w:pPr>
              <w:spacing w:before="0" w:after="0" w:line="240" w:lineRule="auto"/>
              <w:jc w:val="left"/>
              <w:rPr>
                <w:sz w:val="18"/>
                <w:szCs w:val="18"/>
              </w:rPr>
            </w:pPr>
            <w:r w:rsidRPr="00E95F74">
              <w:rPr>
                <w:sz w:val="18"/>
                <w:szCs w:val="18"/>
              </w:rPr>
              <w:t>S2</w:t>
            </w:r>
          </w:p>
        </w:tc>
        <w:tc>
          <w:tcPr>
            <w:tcW w:w="1884" w:type="dxa"/>
            <w:vAlign w:val="center"/>
          </w:tcPr>
          <w:p w14:paraId="256D51D7" w14:textId="77777777" w:rsidR="00C772A9" w:rsidRPr="00E95F74" w:rsidRDefault="00C772A9" w:rsidP="005940D7">
            <w:pPr>
              <w:spacing w:before="0" w:after="0" w:line="240" w:lineRule="auto"/>
              <w:jc w:val="left"/>
              <w:rPr>
                <w:sz w:val="18"/>
                <w:szCs w:val="18"/>
              </w:rPr>
            </w:pPr>
            <w:r w:rsidRPr="00E95F74">
              <w:rPr>
                <w:sz w:val="18"/>
                <w:szCs w:val="18"/>
              </w:rPr>
              <w:t>0/2</w:t>
            </w:r>
          </w:p>
        </w:tc>
        <w:tc>
          <w:tcPr>
            <w:tcW w:w="1884" w:type="dxa"/>
            <w:vAlign w:val="center"/>
          </w:tcPr>
          <w:p w14:paraId="6DE969BD" w14:textId="77777777" w:rsidR="00C772A9" w:rsidRPr="00E95F74" w:rsidRDefault="00C772A9" w:rsidP="005940D7">
            <w:pPr>
              <w:spacing w:before="0" w:after="0" w:line="240" w:lineRule="auto"/>
              <w:jc w:val="left"/>
              <w:rPr>
                <w:sz w:val="18"/>
                <w:szCs w:val="18"/>
              </w:rPr>
            </w:pPr>
            <w:r w:rsidRPr="00E95F74">
              <w:rPr>
                <w:sz w:val="18"/>
                <w:szCs w:val="18"/>
              </w:rPr>
              <w:t>0.1</w:t>
            </w:r>
          </w:p>
        </w:tc>
      </w:tr>
      <w:tr w:rsidR="00C772A9" w:rsidRPr="00E95F74" w14:paraId="75565EEC" w14:textId="77777777" w:rsidTr="00A32839">
        <w:trPr>
          <w:trHeight w:val="340"/>
        </w:trPr>
        <w:tc>
          <w:tcPr>
            <w:tcW w:w="993" w:type="dxa"/>
            <w:vAlign w:val="center"/>
          </w:tcPr>
          <w:p w14:paraId="0D98D3E7" w14:textId="77777777" w:rsidR="00C772A9" w:rsidRPr="00E95F74" w:rsidRDefault="00C772A9" w:rsidP="005940D7">
            <w:pPr>
              <w:spacing w:before="0" w:after="0" w:line="240" w:lineRule="auto"/>
              <w:jc w:val="left"/>
              <w:rPr>
                <w:sz w:val="18"/>
                <w:szCs w:val="18"/>
              </w:rPr>
            </w:pPr>
            <w:r w:rsidRPr="00E95F74">
              <w:rPr>
                <w:sz w:val="18"/>
                <w:szCs w:val="18"/>
              </w:rPr>
              <w:t>C5/6</w:t>
            </w:r>
          </w:p>
        </w:tc>
        <w:tc>
          <w:tcPr>
            <w:tcW w:w="2427" w:type="dxa"/>
            <w:vAlign w:val="center"/>
          </w:tcPr>
          <w:p w14:paraId="3B05FCD1" w14:textId="77777777" w:rsidR="00C772A9" w:rsidRPr="00E95F74" w:rsidRDefault="00C772A9" w:rsidP="005940D7">
            <w:pPr>
              <w:spacing w:before="0" w:after="0" w:line="240" w:lineRule="auto"/>
              <w:jc w:val="left"/>
              <w:rPr>
                <w:sz w:val="18"/>
                <w:szCs w:val="18"/>
              </w:rPr>
            </w:pPr>
            <w:r w:rsidRPr="00E95F74">
              <w:rPr>
                <w:sz w:val="18"/>
                <w:szCs w:val="18"/>
              </w:rPr>
              <w:t>Sand/Gravel</w:t>
            </w:r>
            <w:r w:rsidRPr="00E95F74">
              <w:rPr>
                <w:sz w:val="18"/>
                <w:szCs w:val="18"/>
              </w:rPr>
              <w:br/>
              <w:t>(50/50 wt.-%)</w:t>
            </w:r>
          </w:p>
        </w:tc>
        <w:tc>
          <w:tcPr>
            <w:tcW w:w="1883" w:type="dxa"/>
            <w:vAlign w:val="center"/>
          </w:tcPr>
          <w:p w14:paraId="6FC0A4BB" w14:textId="77777777" w:rsidR="00C772A9" w:rsidRPr="00E95F74" w:rsidRDefault="00C772A9" w:rsidP="005940D7">
            <w:pPr>
              <w:spacing w:before="0" w:after="0" w:line="240" w:lineRule="auto"/>
              <w:jc w:val="left"/>
              <w:rPr>
                <w:sz w:val="18"/>
                <w:szCs w:val="18"/>
              </w:rPr>
            </w:pPr>
            <w:r w:rsidRPr="00E95F74">
              <w:rPr>
                <w:sz w:val="18"/>
                <w:szCs w:val="18"/>
              </w:rPr>
              <w:t>SGR</w:t>
            </w:r>
          </w:p>
        </w:tc>
        <w:tc>
          <w:tcPr>
            <w:tcW w:w="1884" w:type="dxa"/>
            <w:vAlign w:val="center"/>
          </w:tcPr>
          <w:p w14:paraId="4C7C8CB9" w14:textId="77777777" w:rsidR="00C772A9" w:rsidRPr="00E95F74" w:rsidRDefault="00C772A9" w:rsidP="005940D7">
            <w:pPr>
              <w:spacing w:before="0" w:after="0" w:line="240" w:lineRule="auto"/>
              <w:jc w:val="left"/>
              <w:rPr>
                <w:sz w:val="18"/>
                <w:szCs w:val="18"/>
              </w:rPr>
            </w:pPr>
            <w:r w:rsidRPr="00E95F74">
              <w:rPr>
                <w:sz w:val="18"/>
                <w:szCs w:val="18"/>
              </w:rPr>
              <w:t>0/8</w:t>
            </w:r>
          </w:p>
        </w:tc>
        <w:tc>
          <w:tcPr>
            <w:tcW w:w="1884" w:type="dxa"/>
            <w:vAlign w:val="center"/>
          </w:tcPr>
          <w:p w14:paraId="612F7989" w14:textId="77777777" w:rsidR="00C772A9" w:rsidRPr="00E95F74" w:rsidRDefault="00C772A9" w:rsidP="005940D7">
            <w:pPr>
              <w:spacing w:before="0" w:after="0" w:line="240" w:lineRule="auto"/>
              <w:jc w:val="left"/>
              <w:rPr>
                <w:sz w:val="18"/>
                <w:szCs w:val="18"/>
              </w:rPr>
            </w:pPr>
            <w:r w:rsidRPr="00E95F74">
              <w:rPr>
                <w:sz w:val="18"/>
                <w:szCs w:val="18"/>
              </w:rPr>
              <w:t>0.1</w:t>
            </w:r>
          </w:p>
        </w:tc>
      </w:tr>
      <w:tr w:rsidR="00C772A9" w:rsidRPr="00E95F74" w14:paraId="7B4C65FE" w14:textId="77777777" w:rsidTr="00A32839">
        <w:trPr>
          <w:trHeight w:val="340"/>
        </w:trPr>
        <w:tc>
          <w:tcPr>
            <w:tcW w:w="993" w:type="dxa"/>
            <w:vAlign w:val="center"/>
          </w:tcPr>
          <w:p w14:paraId="0D8481FE" w14:textId="77777777" w:rsidR="00C772A9" w:rsidRPr="00E95F74" w:rsidRDefault="00C772A9" w:rsidP="005940D7">
            <w:pPr>
              <w:spacing w:before="0" w:after="0" w:line="240" w:lineRule="auto"/>
              <w:jc w:val="left"/>
              <w:rPr>
                <w:sz w:val="18"/>
                <w:szCs w:val="18"/>
              </w:rPr>
            </w:pPr>
            <w:r w:rsidRPr="00E95F74">
              <w:rPr>
                <w:sz w:val="18"/>
                <w:szCs w:val="18"/>
              </w:rPr>
              <w:t>C7/8</w:t>
            </w:r>
          </w:p>
        </w:tc>
        <w:tc>
          <w:tcPr>
            <w:tcW w:w="2427" w:type="dxa"/>
            <w:vAlign w:val="center"/>
          </w:tcPr>
          <w:p w14:paraId="2F7BA34C" w14:textId="77777777" w:rsidR="00C772A9" w:rsidRPr="00E95F74" w:rsidRDefault="00C772A9" w:rsidP="005940D7">
            <w:pPr>
              <w:spacing w:before="0" w:after="0" w:line="240" w:lineRule="auto"/>
              <w:jc w:val="left"/>
              <w:rPr>
                <w:sz w:val="18"/>
                <w:szCs w:val="18"/>
              </w:rPr>
            </w:pPr>
            <w:r w:rsidRPr="00E95F74">
              <w:rPr>
                <w:sz w:val="18"/>
                <w:szCs w:val="18"/>
              </w:rPr>
              <w:t>Gravel</w:t>
            </w:r>
          </w:p>
        </w:tc>
        <w:tc>
          <w:tcPr>
            <w:tcW w:w="1883" w:type="dxa"/>
            <w:vAlign w:val="center"/>
          </w:tcPr>
          <w:p w14:paraId="35347307" w14:textId="77777777" w:rsidR="00C772A9" w:rsidRPr="00E95F74" w:rsidRDefault="00C772A9" w:rsidP="005940D7">
            <w:pPr>
              <w:spacing w:before="0" w:after="0" w:line="240" w:lineRule="auto"/>
              <w:jc w:val="left"/>
              <w:rPr>
                <w:sz w:val="18"/>
                <w:szCs w:val="18"/>
              </w:rPr>
            </w:pPr>
            <w:r w:rsidRPr="00E95F74">
              <w:rPr>
                <w:sz w:val="18"/>
                <w:szCs w:val="18"/>
              </w:rPr>
              <w:t>GR</w:t>
            </w:r>
          </w:p>
        </w:tc>
        <w:tc>
          <w:tcPr>
            <w:tcW w:w="1884" w:type="dxa"/>
            <w:vAlign w:val="center"/>
          </w:tcPr>
          <w:p w14:paraId="382D93E8" w14:textId="77777777" w:rsidR="00C772A9" w:rsidRPr="00E95F74" w:rsidRDefault="00C772A9" w:rsidP="005940D7">
            <w:pPr>
              <w:spacing w:before="0" w:after="0" w:line="240" w:lineRule="auto"/>
              <w:jc w:val="left"/>
              <w:rPr>
                <w:sz w:val="18"/>
                <w:szCs w:val="18"/>
              </w:rPr>
            </w:pPr>
            <w:r w:rsidRPr="00E95F74">
              <w:rPr>
                <w:sz w:val="18"/>
                <w:szCs w:val="18"/>
              </w:rPr>
              <w:t>2/8</w:t>
            </w:r>
          </w:p>
        </w:tc>
        <w:tc>
          <w:tcPr>
            <w:tcW w:w="1884" w:type="dxa"/>
            <w:vAlign w:val="center"/>
          </w:tcPr>
          <w:p w14:paraId="4790063E" w14:textId="77777777" w:rsidR="00C772A9" w:rsidRPr="00E95F74" w:rsidRDefault="00C772A9" w:rsidP="005940D7">
            <w:pPr>
              <w:spacing w:before="0" w:after="0" w:line="240" w:lineRule="auto"/>
              <w:jc w:val="left"/>
              <w:rPr>
                <w:sz w:val="18"/>
                <w:szCs w:val="18"/>
              </w:rPr>
            </w:pPr>
            <w:r w:rsidRPr="00E95F74">
              <w:rPr>
                <w:sz w:val="18"/>
                <w:szCs w:val="18"/>
              </w:rPr>
              <w:t>0.1</w:t>
            </w:r>
          </w:p>
        </w:tc>
      </w:tr>
      <w:tr w:rsidR="00C772A9" w:rsidRPr="00E95F74" w14:paraId="16C32BBE" w14:textId="77777777" w:rsidTr="00A32839">
        <w:trPr>
          <w:trHeight w:val="340"/>
        </w:trPr>
        <w:tc>
          <w:tcPr>
            <w:tcW w:w="993" w:type="dxa"/>
            <w:vAlign w:val="center"/>
          </w:tcPr>
          <w:p w14:paraId="3CF1A993" w14:textId="77777777" w:rsidR="00C772A9" w:rsidRPr="00E95F74" w:rsidRDefault="00C772A9" w:rsidP="005940D7">
            <w:pPr>
              <w:spacing w:before="0" w:after="0" w:line="240" w:lineRule="auto"/>
              <w:jc w:val="left"/>
              <w:rPr>
                <w:sz w:val="18"/>
                <w:szCs w:val="18"/>
              </w:rPr>
            </w:pPr>
            <w:r w:rsidRPr="00E95F74">
              <w:rPr>
                <w:sz w:val="18"/>
                <w:szCs w:val="18"/>
              </w:rPr>
              <w:t>C9/10</w:t>
            </w:r>
          </w:p>
        </w:tc>
        <w:tc>
          <w:tcPr>
            <w:tcW w:w="2427" w:type="dxa"/>
            <w:vAlign w:val="center"/>
          </w:tcPr>
          <w:p w14:paraId="1E034040" w14:textId="77777777" w:rsidR="00C772A9" w:rsidRPr="00E95F74" w:rsidRDefault="00C772A9" w:rsidP="005940D7">
            <w:pPr>
              <w:spacing w:before="0" w:after="0" w:line="240" w:lineRule="auto"/>
              <w:jc w:val="left"/>
              <w:rPr>
                <w:sz w:val="18"/>
                <w:szCs w:val="18"/>
              </w:rPr>
            </w:pPr>
            <w:r w:rsidRPr="00E95F74">
              <w:rPr>
                <w:sz w:val="18"/>
                <w:szCs w:val="18"/>
              </w:rPr>
              <w:t>Sand/Activated Carbon</w:t>
            </w:r>
            <w:r w:rsidRPr="00E95F74">
              <w:rPr>
                <w:sz w:val="18"/>
                <w:szCs w:val="18"/>
              </w:rPr>
              <w:br/>
              <w:t>(0-10 cm: 80/20 wt.-%</w:t>
            </w:r>
            <w:r w:rsidRPr="00E95F74">
              <w:rPr>
                <w:sz w:val="18"/>
                <w:szCs w:val="18"/>
              </w:rPr>
              <w:br/>
              <w:t>10-50 cm: 100/0 wt.-%</w:t>
            </w:r>
            <w:r w:rsidRPr="00E95F74">
              <w:rPr>
                <w:sz w:val="18"/>
                <w:szCs w:val="18"/>
              </w:rPr>
              <w:br/>
              <w:t>50-70 cm: 60/40 wt.-%)</w:t>
            </w:r>
          </w:p>
        </w:tc>
        <w:tc>
          <w:tcPr>
            <w:tcW w:w="1883" w:type="dxa"/>
            <w:vAlign w:val="center"/>
          </w:tcPr>
          <w:p w14:paraId="7DC4948A" w14:textId="77777777" w:rsidR="00C772A9" w:rsidRPr="00E95F74" w:rsidRDefault="00C772A9" w:rsidP="005940D7">
            <w:pPr>
              <w:spacing w:before="0" w:after="0" w:line="240" w:lineRule="auto"/>
              <w:jc w:val="left"/>
              <w:rPr>
                <w:sz w:val="18"/>
                <w:szCs w:val="18"/>
              </w:rPr>
            </w:pPr>
            <w:r w:rsidRPr="00E95F74">
              <w:rPr>
                <w:sz w:val="18"/>
                <w:szCs w:val="18"/>
              </w:rPr>
              <w:t>SAC</w:t>
            </w:r>
          </w:p>
        </w:tc>
        <w:tc>
          <w:tcPr>
            <w:tcW w:w="1884" w:type="dxa"/>
            <w:vAlign w:val="center"/>
          </w:tcPr>
          <w:p w14:paraId="7983624C" w14:textId="77777777" w:rsidR="00C772A9" w:rsidRPr="00E95F74" w:rsidRDefault="00C772A9" w:rsidP="005940D7">
            <w:pPr>
              <w:spacing w:before="0" w:after="0" w:line="240" w:lineRule="auto"/>
              <w:jc w:val="left"/>
              <w:rPr>
                <w:sz w:val="18"/>
                <w:szCs w:val="18"/>
              </w:rPr>
            </w:pPr>
            <w:r w:rsidRPr="00E95F74">
              <w:rPr>
                <w:sz w:val="18"/>
                <w:szCs w:val="18"/>
              </w:rPr>
              <w:t>0/2.5</w:t>
            </w:r>
          </w:p>
        </w:tc>
        <w:tc>
          <w:tcPr>
            <w:tcW w:w="1884" w:type="dxa"/>
            <w:vAlign w:val="center"/>
          </w:tcPr>
          <w:p w14:paraId="405EFAAA" w14:textId="77777777" w:rsidR="00C772A9" w:rsidRPr="00E95F74" w:rsidRDefault="00C772A9" w:rsidP="005940D7">
            <w:pPr>
              <w:spacing w:before="0" w:after="0" w:line="240" w:lineRule="auto"/>
              <w:jc w:val="left"/>
              <w:rPr>
                <w:sz w:val="18"/>
                <w:szCs w:val="18"/>
              </w:rPr>
            </w:pPr>
            <w:r w:rsidRPr="00E95F74">
              <w:rPr>
                <w:sz w:val="18"/>
                <w:szCs w:val="18"/>
              </w:rPr>
              <w:t>0.1</w:t>
            </w:r>
          </w:p>
        </w:tc>
      </w:tr>
      <w:tr w:rsidR="00C772A9" w:rsidRPr="00E95F74" w14:paraId="549370B9" w14:textId="77777777" w:rsidTr="00A32839">
        <w:trPr>
          <w:trHeight w:val="340"/>
        </w:trPr>
        <w:tc>
          <w:tcPr>
            <w:tcW w:w="993" w:type="dxa"/>
            <w:vAlign w:val="center"/>
          </w:tcPr>
          <w:p w14:paraId="5871E5A6" w14:textId="77777777" w:rsidR="00C772A9" w:rsidRPr="00E95F74" w:rsidRDefault="00C772A9" w:rsidP="005940D7">
            <w:pPr>
              <w:spacing w:before="0" w:after="0" w:line="240" w:lineRule="auto"/>
              <w:jc w:val="left"/>
              <w:rPr>
                <w:sz w:val="18"/>
                <w:szCs w:val="18"/>
              </w:rPr>
            </w:pPr>
            <w:r w:rsidRPr="00E95F74">
              <w:rPr>
                <w:sz w:val="18"/>
                <w:szCs w:val="18"/>
              </w:rPr>
              <w:t>C11/12</w:t>
            </w:r>
          </w:p>
        </w:tc>
        <w:tc>
          <w:tcPr>
            <w:tcW w:w="2427" w:type="dxa"/>
            <w:vAlign w:val="center"/>
          </w:tcPr>
          <w:p w14:paraId="2483F20A" w14:textId="77777777" w:rsidR="00C772A9" w:rsidRPr="00E95F74" w:rsidRDefault="00C772A9" w:rsidP="005940D7">
            <w:pPr>
              <w:spacing w:before="0" w:after="0" w:line="240" w:lineRule="auto"/>
              <w:jc w:val="left"/>
              <w:rPr>
                <w:sz w:val="18"/>
                <w:szCs w:val="18"/>
              </w:rPr>
            </w:pPr>
            <w:r w:rsidRPr="00E95F74">
              <w:rPr>
                <w:sz w:val="18"/>
                <w:szCs w:val="18"/>
              </w:rPr>
              <w:t xml:space="preserve">Urban </w:t>
            </w:r>
            <w:proofErr w:type="spellStart"/>
            <w:r w:rsidRPr="00E95F74">
              <w:rPr>
                <w:sz w:val="18"/>
                <w:szCs w:val="18"/>
              </w:rPr>
              <w:t>Rainshell</w:t>
            </w:r>
            <w:proofErr w:type="spellEnd"/>
            <w:r w:rsidRPr="00E95F74">
              <w:rPr>
                <w:sz w:val="18"/>
                <w:szCs w:val="18"/>
              </w:rPr>
              <w:t>:</w:t>
            </w:r>
            <w:r w:rsidRPr="00E95F74">
              <w:rPr>
                <w:sz w:val="18"/>
                <w:szCs w:val="18"/>
              </w:rPr>
              <w:br/>
              <w:t xml:space="preserve">AA Minerals Type D </w:t>
            </w:r>
          </w:p>
        </w:tc>
        <w:tc>
          <w:tcPr>
            <w:tcW w:w="1883" w:type="dxa"/>
            <w:vAlign w:val="center"/>
          </w:tcPr>
          <w:p w14:paraId="74E93036" w14:textId="77777777" w:rsidR="00C772A9" w:rsidRPr="00E95F74" w:rsidRDefault="00C772A9" w:rsidP="005940D7">
            <w:pPr>
              <w:spacing w:before="0" w:after="0" w:line="240" w:lineRule="auto"/>
              <w:jc w:val="left"/>
              <w:rPr>
                <w:sz w:val="18"/>
                <w:szCs w:val="18"/>
              </w:rPr>
            </w:pPr>
            <w:r w:rsidRPr="00E95F74">
              <w:rPr>
                <w:sz w:val="18"/>
                <w:szCs w:val="18"/>
              </w:rPr>
              <w:t>AAMin.</w:t>
            </w:r>
          </w:p>
        </w:tc>
        <w:tc>
          <w:tcPr>
            <w:tcW w:w="1884" w:type="dxa"/>
            <w:vAlign w:val="center"/>
          </w:tcPr>
          <w:p w14:paraId="30EB8BDE" w14:textId="77777777" w:rsidR="00C772A9" w:rsidRPr="00E95F74" w:rsidRDefault="00C772A9" w:rsidP="005940D7">
            <w:pPr>
              <w:spacing w:before="0" w:after="0" w:line="240" w:lineRule="auto"/>
              <w:jc w:val="left"/>
              <w:rPr>
                <w:sz w:val="18"/>
                <w:szCs w:val="18"/>
              </w:rPr>
            </w:pPr>
            <w:r w:rsidRPr="00E95F74">
              <w:rPr>
                <w:sz w:val="18"/>
                <w:szCs w:val="18"/>
              </w:rPr>
              <w:t>0/25</w:t>
            </w:r>
          </w:p>
        </w:tc>
        <w:tc>
          <w:tcPr>
            <w:tcW w:w="1884" w:type="dxa"/>
            <w:vAlign w:val="center"/>
          </w:tcPr>
          <w:p w14:paraId="57618E0D" w14:textId="77777777" w:rsidR="00C772A9" w:rsidRPr="00E95F74" w:rsidRDefault="00C772A9" w:rsidP="005940D7">
            <w:pPr>
              <w:spacing w:before="0" w:after="0" w:line="240" w:lineRule="auto"/>
              <w:jc w:val="left"/>
              <w:rPr>
                <w:sz w:val="18"/>
                <w:szCs w:val="18"/>
              </w:rPr>
            </w:pPr>
            <w:r w:rsidRPr="00E95F74">
              <w:rPr>
                <w:sz w:val="18"/>
                <w:szCs w:val="18"/>
              </w:rPr>
              <w:t>0.1</w:t>
            </w:r>
          </w:p>
        </w:tc>
      </w:tr>
      <w:tr w:rsidR="00C772A9" w:rsidRPr="00E95F74" w14:paraId="016E8594" w14:textId="77777777" w:rsidTr="00A32839">
        <w:trPr>
          <w:trHeight w:val="340"/>
        </w:trPr>
        <w:tc>
          <w:tcPr>
            <w:tcW w:w="993" w:type="dxa"/>
            <w:vAlign w:val="center"/>
          </w:tcPr>
          <w:p w14:paraId="3758478B" w14:textId="77777777" w:rsidR="00C772A9" w:rsidRPr="00E95F74" w:rsidRDefault="00C772A9" w:rsidP="005940D7">
            <w:pPr>
              <w:spacing w:before="0" w:after="0" w:line="240" w:lineRule="auto"/>
              <w:jc w:val="left"/>
              <w:rPr>
                <w:sz w:val="18"/>
                <w:szCs w:val="18"/>
              </w:rPr>
            </w:pPr>
            <w:r w:rsidRPr="00E95F74">
              <w:rPr>
                <w:sz w:val="18"/>
                <w:szCs w:val="18"/>
              </w:rPr>
              <w:t>C13/14</w:t>
            </w:r>
          </w:p>
        </w:tc>
        <w:tc>
          <w:tcPr>
            <w:tcW w:w="2427" w:type="dxa"/>
            <w:vAlign w:val="center"/>
          </w:tcPr>
          <w:p w14:paraId="50BD6D45" w14:textId="77777777" w:rsidR="00C772A9" w:rsidRPr="00E95F74" w:rsidRDefault="00C772A9" w:rsidP="005940D7">
            <w:pPr>
              <w:spacing w:before="0" w:after="0" w:line="240" w:lineRule="auto"/>
              <w:jc w:val="left"/>
              <w:rPr>
                <w:sz w:val="18"/>
                <w:szCs w:val="18"/>
                <w:lang w:val="de-DE"/>
              </w:rPr>
            </w:pPr>
            <w:r w:rsidRPr="00E95F74">
              <w:rPr>
                <w:sz w:val="18"/>
                <w:szCs w:val="18"/>
                <w:lang w:val="de-DE"/>
              </w:rPr>
              <w:t>Sand/</w:t>
            </w:r>
            <w:proofErr w:type="spellStart"/>
            <w:r w:rsidRPr="00E95F74">
              <w:rPr>
                <w:sz w:val="18"/>
                <w:szCs w:val="18"/>
                <w:lang w:val="de-DE"/>
              </w:rPr>
              <w:t>Zeolite</w:t>
            </w:r>
            <w:proofErr w:type="spellEnd"/>
            <w:r w:rsidRPr="00E95F74">
              <w:rPr>
                <w:sz w:val="18"/>
                <w:szCs w:val="18"/>
                <w:lang w:val="de-DE"/>
              </w:rPr>
              <w:br/>
              <w:t>(0-10 cm: 80/20 </w:t>
            </w:r>
            <w:proofErr w:type="spellStart"/>
            <w:r w:rsidRPr="00E95F74">
              <w:rPr>
                <w:sz w:val="18"/>
                <w:szCs w:val="18"/>
                <w:lang w:val="de-DE"/>
              </w:rPr>
              <w:t>wt</w:t>
            </w:r>
            <w:proofErr w:type="spellEnd"/>
            <w:r w:rsidRPr="00E95F74">
              <w:rPr>
                <w:sz w:val="18"/>
                <w:szCs w:val="18"/>
                <w:lang w:val="de-DE"/>
              </w:rPr>
              <w:t>.-%</w:t>
            </w:r>
            <w:r w:rsidRPr="00E95F74">
              <w:rPr>
                <w:sz w:val="18"/>
                <w:szCs w:val="18"/>
                <w:lang w:val="de-DE"/>
              </w:rPr>
              <w:br/>
              <w:t>10-50 cm: 100/0 </w:t>
            </w:r>
            <w:proofErr w:type="spellStart"/>
            <w:r w:rsidRPr="00E95F74">
              <w:rPr>
                <w:sz w:val="18"/>
                <w:szCs w:val="18"/>
                <w:lang w:val="de-DE"/>
              </w:rPr>
              <w:t>wt</w:t>
            </w:r>
            <w:proofErr w:type="spellEnd"/>
            <w:r w:rsidRPr="00E95F74">
              <w:rPr>
                <w:sz w:val="18"/>
                <w:szCs w:val="18"/>
                <w:lang w:val="de-DE"/>
              </w:rPr>
              <w:t>.-%</w:t>
            </w:r>
            <w:r w:rsidRPr="00E95F74">
              <w:rPr>
                <w:sz w:val="18"/>
                <w:szCs w:val="18"/>
                <w:lang w:val="de-DE"/>
              </w:rPr>
              <w:br/>
              <w:t>50-70 cm: 60/40 </w:t>
            </w:r>
            <w:proofErr w:type="spellStart"/>
            <w:r w:rsidRPr="00E95F74">
              <w:rPr>
                <w:sz w:val="18"/>
                <w:szCs w:val="18"/>
                <w:lang w:val="de-DE"/>
              </w:rPr>
              <w:t>wt</w:t>
            </w:r>
            <w:proofErr w:type="spellEnd"/>
            <w:r w:rsidRPr="00E95F74">
              <w:rPr>
                <w:sz w:val="18"/>
                <w:szCs w:val="18"/>
                <w:lang w:val="de-DE"/>
              </w:rPr>
              <w:t>.-%)</w:t>
            </w:r>
          </w:p>
        </w:tc>
        <w:tc>
          <w:tcPr>
            <w:tcW w:w="1883" w:type="dxa"/>
            <w:vAlign w:val="center"/>
          </w:tcPr>
          <w:p w14:paraId="0E15DEBD" w14:textId="77777777" w:rsidR="00C772A9" w:rsidRPr="00E95F74" w:rsidRDefault="00C772A9" w:rsidP="005940D7">
            <w:pPr>
              <w:spacing w:before="0" w:after="0" w:line="240" w:lineRule="auto"/>
              <w:jc w:val="left"/>
              <w:rPr>
                <w:sz w:val="18"/>
                <w:szCs w:val="18"/>
              </w:rPr>
            </w:pPr>
            <w:r w:rsidRPr="00E95F74">
              <w:rPr>
                <w:sz w:val="18"/>
                <w:szCs w:val="18"/>
              </w:rPr>
              <w:t>SZ</w:t>
            </w:r>
          </w:p>
        </w:tc>
        <w:tc>
          <w:tcPr>
            <w:tcW w:w="1884" w:type="dxa"/>
            <w:vAlign w:val="center"/>
          </w:tcPr>
          <w:p w14:paraId="780EB6FF" w14:textId="77777777" w:rsidR="00C772A9" w:rsidRPr="00E95F74" w:rsidRDefault="00C772A9" w:rsidP="005940D7">
            <w:pPr>
              <w:spacing w:before="0" w:after="0" w:line="240" w:lineRule="auto"/>
              <w:jc w:val="left"/>
              <w:rPr>
                <w:sz w:val="18"/>
                <w:szCs w:val="18"/>
              </w:rPr>
            </w:pPr>
            <w:r w:rsidRPr="00E95F74">
              <w:rPr>
                <w:sz w:val="18"/>
                <w:szCs w:val="18"/>
              </w:rPr>
              <w:t>0/2.5</w:t>
            </w:r>
          </w:p>
        </w:tc>
        <w:tc>
          <w:tcPr>
            <w:tcW w:w="1884" w:type="dxa"/>
            <w:vAlign w:val="center"/>
          </w:tcPr>
          <w:p w14:paraId="678F59A2" w14:textId="77777777" w:rsidR="00C772A9" w:rsidRPr="00E95F74" w:rsidRDefault="00C772A9" w:rsidP="005940D7">
            <w:pPr>
              <w:spacing w:before="0" w:after="0" w:line="240" w:lineRule="auto"/>
              <w:jc w:val="left"/>
              <w:rPr>
                <w:sz w:val="18"/>
                <w:szCs w:val="18"/>
              </w:rPr>
            </w:pPr>
            <w:r w:rsidRPr="00E95F74">
              <w:rPr>
                <w:sz w:val="18"/>
                <w:szCs w:val="18"/>
              </w:rPr>
              <w:t>0.1</w:t>
            </w:r>
          </w:p>
        </w:tc>
      </w:tr>
    </w:tbl>
    <w:p w14:paraId="5C00D2D1" w14:textId="12E80B06" w:rsidR="00E17DFD" w:rsidRDefault="004E16A1" w:rsidP="00F872C5">
      <w:r w:rsidRPr="004E16A1">
        <w:t xml:space="preserve">To investigate the applicability of compact </w:t>
      </w:r>
      <w:r>
        <w:t xml:space="preserve">CSO-CW </w:t>
      </w:r>
      <w:r w:rsidRPr="004E16A1">
        <w:t>operation, hydraulic loading was increased to 0.1 L s</w:t>
      </w:r>
      <w:r w:rsidRPr="004E16A1">
        <w:rPr>
          <w:vertAlign w:val="superscript"/>
        </w:rPr>
        <w:t>-1</w:t>
      </w:r>
      <w:r>
        <w:t xml:space="preserve"> m</w:t>
      </w:r>
      <w:r w:rsidRPr="004E16A1">
        <w:rPr>
          <w:vertAlign w:val="superscript"/>
        </w:rPr>
        <w:t>-2</w:t>
      </w:r>
      <w:r w:rsidRPr="004E16A1">
        <w:t xml:space="preserve">. To compensate </w:t>
      </w:r>
      <w:r w:rsidR="00E05E55">
        <w:t xml:space="preserve">for </w:t>
      </w:r>
      <w:r w:rsidRPr="004E16A1">
        <w:t xml:space="preserve">potential performance losses, a </w:t>
      </w:r>
      <w:r>
        <w:t>biopolymer</w:t>
      </w:r>
      <w:r w:rsidRPr="004E16A1">
        <w:t xml:space="preserve"> (</w:t>
      </w:r>
      <w:proofErr w:type="spellStart"/>
      <w:r w:rsidRPr="004E16A1">
        <w:t>Heppix</w:t>
      </w:r>
      <w:proofErr w:type="spellEnd"/>
      <w:r w:rsidRPr="004E16A1">
        <w:t xml:space="preserve"> OT) was applied to two </w:t>
      </w:r>
      <w:r>
        <w:t>pilot</w:t>
      </w:r>
      <w:r w:rsidR="00E05E55">
        <w:t xml:space="preserve"> columns</w:t>
      </w:r>
      <w:r w:rsidRPr="004E16A1">
        <w:t xml:space="preserve"> using a static in-line mixer at concentrations of 2.5, 5.0</w:t>
      </w:r>
      <w:r w:rsidR="00E05E55">
        <w:t>,</w:t>
      </w:r>
      <w:r w:rsidRPr="004E16A1">
        <w:t xml:space="preserve"> and 10.0</w:t>
      </w:r>
      <w:r>
        <w:t> </w:t>
      </w:r>
      <w:r w:rsidRPr="004E16A1">
        <w:t>mg L</w:t>
      </w:r>
      <w:r w:rsidRPr="004E16A1">
        <w:rPr>
          <w:vertAlign w:val="superscript"/>
        </w:rPr>
        <w:t>-1</w:t>
      </w:r>
      <w:r w:rsidRPr="004E16A1">
        <w:t xml:space="preserve">. </w:t>
      </w:r>
      <w:r w:rsidR="00E05E55">
        <w:t>The r</w:t>
      </w:r>
      <w:r w:rsidR="00E05E55" w:rsidRPr="004E16A1">
        <w:t>eference</w:t>
      </w:r>
      <w:r w:rsidR="00E05E55">
        <w:t xml:space="preserve"> </w:t>
      </w:r>
      <w:r>
        <w:t>CSO-CWs</w:t>
      </w:r>
      <w:r w:rsidR="00E05E55">
        <w:t xml:space="preserve"> setup</w:t>
      </w:r>
      <w:r w:rsidRPr="004E16A1">
        <w:t xml:space="preserve"> included one</w:t>
      </w:r>
      <w:r w:rsidR="00E05E55">
        <w:t xml:space="preserve"> column</w:t>
      </w:r>
      <w:r w:rsidRPr="004E16A1">
        <w:t xml:space="preserve"> operated at a conventional loading rate of 0.05 L s</w:t>
      </w:r>
      <w:r w:rsidRPr="004E16A1">
        <w:rPr>
          <w:vertAlign w:val="superscript"/>
        </w:rPr>
        <w:t>-1</w:t>
      </w:r>
      <w:r w:rsidRPr="004E16A1">
        <w:t xml:space="preserve"> m</w:t>
      </w:r>
      <w:r w:rsidRPr="004E16A1">
        <w:rPr>
          <w:vertAlign w:val="superscript"/>
        </w:rPr>
        <w:t>-2</w:t>
      </w:r>
      <w:r w:rsidRPr="004E16A1">
        <w:t xml:space="preserve"> without </w:t>
      </w:r>
      <w:r>
        <w:t>biopolymer</w:t>
      </w:r>
      <w:r w:rsidRPr="004E16A1">
        <w:t>, and one</w:t>
      </w:r>
      <w:r w:rsidR="00E05E55">
        <w:t xml:space="preserve"> column</w:t>
      </w:r>
      <w:r w:rsidRPr="004E16A1">
        <w:t xml:space="preserve"> operated at 0.1 L s</w:t>
      </w:r>
      <w:r w:rsidRPr="004E16A1">
        <w:rPr>
          <w:vertAlign w:val="superscript"/>
        </w:rPr>
        <w:t>-1</w:t>
      </w:r>
      <w:r>
        <w:t xml:space="preserve"> m</w:t>
      </w:r>
      <w:r w:rsidRPr="004E16A1">
        <w:rPr>
          <w:vertAlign w:val="superscript"/>
        </w:rPr>
        <w:t>-2</w:t>
      </w:r>
      <w:r>
        <w:t xml:space="preserve"> w</w:t>
      </w:r>
      <w:r w:rsidRPr="004E16A1">
        <w:t xml:space="preserve">ithout </w:t>
      </w:r>
      <w:r w:rsidR="00637B55">
        <w:t>biopolymer</w:t>
      </w:r>
      <w:r w:rsidRPr="004E16A1">
        <w:t xml:space="preserve"> addition</w:t>
      </w:r>
      <w:r w:rsidR="00E221E7">
        <w:t xml:space="preserve"> (</w:t>
      </w:r>
      <w:r w:rsidR="00E131A0">
        <w:fldChar w:fldCharType="begin"/>
      </w:r>
      <w:r w:rsidR="00E131A0">
        <w:instrText xml:space="preserve"> REF _Ref215665461 \h </w:instrText>
      </w:r>
      <w:r w:rsidR="00E131A0">
        <w:fldChar w:fldCharType="separate"/>
      </w:r>
      <w:r w:rsidR="00E131A0">
        <w:t xml:space="preserve">Figure </w:t>
      </w:r>
      <w:r w:rsidR="00E131A0">
        <w:rPr>
          <w:noProof/>
        </w:rPr>
        <w:t>1</w:t>
      </w:r>
      <w:r w:rsidR="00E131A0">
        <w:fldChar w:fldCharType="end"/>
      </w:r>
      <w:r w:rsidR="00E221E7">
        <w:t>)</w:t>
      </w:r>
      <w:r w:rsidRPr="004E16A1">
        <w:t>.</w:t>
      </w:r>
    </w:p>
    <w:p w14:paraId="1E1F427F" w14:textId="77777777" w:rsidR="00E221E7" w:rsidRDefault="00E221E7" w:rsidP="00E221E7">
      <w:pPr>
        <w:keepNext/>
        <w:jc w:val="center"/>
      </w:pPr>
      <w:r>
        <w:rPr>
          <w:noProof/>
        </w:rPr>
        <w:drawing>
          <wp:inline distT="0" distB="0" distL="0" distR="0" wp14:anchorId="5A459C00" wp14:editId="30B170D6">
            <wp:extent cx="4733925" cy="2428162"/>
            <wp:effectExtent l="0" t="0" r="0" b="0"/>
            <wp:docPr id="21393386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338627" name="Grafik 1"/>
                    <pic:cNvPicPr/>
                  </pic:nvPicPr>
                  <pic:blipFill>
                    <a:blip r:embed="rId8">
                      <a:extLst>
                        <a:ext uri="{96DAC541-7B7A-43D3-8B79-37D633B846F1}">
                          <asvg:svgBlip xmlns:asvg="http://schemas.microsoft.com/office/drawing/2016/SVG/main" r:embed="rId9"/>
                        </a:ext>
                      </a:extLst>
                    </a:blip>
                    <a:stretch>
                      <a:fillRect/>
                    </a:stretch>
                  </pic:blipFill>
                  <pic:spPr>
                    <a:xfrm>
                      <a:off x="0" y="0"/>
                      <a:ext cx="4787571" cy="2455678"/>
                    </a:xfrm>
                    <a:prstGeom prst="rect">
                      <a:avLst/>
                    </a:prstGeom>
                  </pic:spPr>
                </pic:pic>
              </a:graphicData>
            </a:graphic>
          </wp:inline>
        </w:drawing>
      </w:r>
    </w:p>
    <w:p w14:paraId="7D1DDDD4" w14:textId="28C9757F" w:rsidR="00637B55" w:rsidRDefault="00E221E7" w:rsidP="00E221E7">
      <w:pPr>
        <w:pStyle w:val="Legendes"/>
      </w:pPr>
      <w:bookmarkStart w:id="1" w:name="_Ref215665461"/>
      <w:r>
        <w:t xml:space="preserve">Figure </w:t>
      </w:r>
      <w:r>
        <w:fldChar w:fldCharType="begin"/>
      </w:r>
      <w:r>
        <w:instrText xml:space="preserve"> SEQ Figure \* ARABIC </w:instrText>
      </w:r>
      <w:r>
        <w:fldChar w:fldCharType="separate"/>
      </w:r>
      <w:r w:rsidR="00E131A0">
        <w:rPr>
          <w:noProof/>
        </w:rPr>
        <w:t>1</w:t>
      </w:r>
      <w:r>
        <w:fldChar w:fldCharType="end"/>
      </w:r>
      <w:bookmarkEnd w:id="1"/>
      <w:r>
        <w:t xml:space="preserve">: </w:t>
      </w:r>
      <w:proofErr w:type="gramStart"/>
      <w:r>
        <w:t>Flow-Sheet</w:t>
      </w:r>
      <w:proofErr w:type="gramEnd"/>
      <w:r>
        <w:t xml:space="preserve"> of the semi-technical CSO-CWs.</w:t>
      </w:r>
    </w:p>
    <w:p w14:paraId="24A2D6D2" w14:textId="5F3C7F5C" w:rsidR="00C31BFD" w:rsidRDefault="00DB07B8" w:rsidP="00DB07B8">
      <w:pPr>
        <w:pStyle w:val="Titre1"/>
      </w:pPr>
      <w:r>
        <w:t>Results and Discussion</w:t>
      </w:r>
    </w:p>
    <w:p w14:paraId="1B5DD150" w14:textId="0B3E1A93" w:rsidR="00DB07B8" w:rsidRDefault="009844DD" w:rsidP="00DB07B8">
      <w:pPr>
        <w:pStyle w:val="Titre2"/>
      </w:pPr>
      <w:r>
        <w:t>Biopolymer performance</w:t>
      </w:r>
    </w:p>
    <w:p w14:paraId="5FEFFFD8" w14:textId="40B29661" w:rsidR="00E131A0" w:rsidRPr="00E131A0" w:rsidRDefault="00E131A0" w:rsidP="00E131A0">
      <w:r w:rsidRPr="00E131A0">
        <w:t>Pre-screening tests identified chitosan-based biopolymers as most efficient for CSO treatment, achieving the highest turbidity reductions, while starch-based products showed considerably lower performance. In subsequent jar tests, chitosan products exhibited low optimal dosage</w:t>
      </w:r>
      <w:r w:rsidR="00C274A0">
        <w:t>s</w:t>
      </w:r>
      <w:r w:rsidRPr="00E131A0">
        <w:t xml:space="preserve"> and consistently high removal efficiencies, with </w:t>
      </w:r>
      <w:proofErr w:type="spellStart"/>
      <w:r w:rsidRPr="00E131A0">
        <w:t>Heppix</w:t>
      </w:r>
      <w:proofErr w:type="spellEnd"/>
      <w:r w:rsidRPr="00E131A0">
        <w:t xml:space="preserve"> OT and </w:t>
      </w:r>
      <w:proofErr w:type="spellStart"/>
      <w:r w:rsidRPr="00E131A0">
        <w:t>Heppix</w:t>
      </w:r>
      <w:proofErr w:type="spellEnd"/>
      <w:r w:rsidRPr="00E131A0">
        <w:t xml:space="preserve"> WS outperforming the starch-based alternative </w:t>
      </w:r>
      <w:proofErr w:type="spellStart"/>
      <w:r w:rsidRPr="00E131A0">
        <w:t>PolySepar</w:t>
      </w:r>
      <w:proofErr w:type="spellEnd"/>
      <w:r w:rsidRPr="00E131A0">
        <w:t xml:space="preserve"> SK72, which required substantially higher dosages for moderate turbidity reduction. Higher mixing speeds improved floc formation for all products without causing floc breakage, and extending flocculation duration beyond five minutes resulted in only marginal additional improvements. Overall, chitosan-based biopolymers demonstrated the most favourable combination of efficiency, stability</w:t>
      </w:r>
      <w:r w:rsidR="00C274A0">
        <w:t>,</w:t>
      </w:r>
      <w:r w:rsidRPr="00E131A0">
        <w:t xml:space="preserve"> and operational feasibility for application in compact CSO-CWs.</w:t>
      </w:r>
    </w:p>
    <w:p w14:paraId="30BB8CA7" w14:textId="3CAC15AB" w:rsidR="009844DD" w:rsidRDefault="009844DD" w:rsidP="009844DD">
      <w:pPr>
        <w:pStyle w:val="Titre2"/>
      </w:pPr>
      <w:r>
        <w:lastRenderedPageBreak/>
        <w:t>Small-scale column tests</w:t>
      </w:r>
    </w:p>
    <w:p w14:paraId="7F11A4CA" w14:textId="40A131DC" w:rsidR="00E131A0" w:rsidRDefault="00E131A0" w:rsidP="00E131A0">
      <w:r w:rsidRPr="00E131A0">
        <w:t xml:space="preserve">Small-scale column </w:t>
      </w:r>
      <w:r w:rsidR="00AD69A5">
        <w:t>tests</w:t>
      </w:r>
      <w:r w:rsidRPr="00E131A0">
        <w:t xml:space="preserve"> showed high </w:t>
      </w:r>
      <w:r w:rsidR="00C274A0">
        <w:t xml:space="preserve">particle and organic matter removal </w:t>
      </w:r>
      <w:r w:rsidRPr="00E131A0">
        <w:t xml:space="preserve">across a range of filter substrates. Finer and </w:t>
      </w:r>
      <w:proofErr w:type="spellStart"/>
      <w:r w:rsidRPr="00E131A0">
        <w:t>sorptive</w:t>
      </w:r>
      <w:proofErr w:type="spellEnd"/>
      <w:r w:rsidRPr="00E131A0">
        <w:t xml:space="preserve"> media (sand, sand</w:t>
      </w:r>
      <w:r w:rsidR="00AD69A5">
        <w:t>-</w:t>
      </w:r>
      <w:r w:rsidRPr="00E131A0">
        <w:t>zeolite</w:t>
      </w:r>
      <w:r w:rsidR="00C274A0">
        <w:t>,</w:t>
      </w:r>
      <w:r w:rsidRPr="00E131A0">
        <w:t xml:space="preserve"> and</w:t>
      </w:r>
      <w:r w:rsidR="00C274A0">
        <w:t>,</w:t>
      </w:r>
      <w:r w:rsidRPr="00E131A0">
        <w:t xml:space="preserve"> especially</w:t>
      </w:r>
      <w:r w:rsidR="00C274A0">
        <w:t>,</w:t>
      </w:r>
      <w:r w:rsidRPr="00E131A0">
        <w:t xml:space="preserve"> sand</w:t>
      </w:r>
      <w:r w:rsidR="00AD69A5">
        <w:t>-</w:t>
      </w:r>
      <w:r w:rsidRPr="00E131A0">
        <w:t>activated</w:t>
      </w:r>
      <w:r w:rsidR="00AD69A5">
        <w:t>-</w:t>
      </w:r>
      <w:r w:rsidRPr="00E131A0">
        <w:t>carbon mixes) consistently achieved high TSS, turbidity, COD, TOC</w:t>
      </w:r>
      <w:r w:rsidR="00C274A0">
        <w:t>,</w:t>
      </w:r>
      <w:r w:rsidRPr="00E131A0">
        <w:t xml:space="preserve"> and DOC removal at elevated hydraulic loading, with performances largely comparable to conventional CSO-CW benchmarks</w:t>
      </w:r>
      <w:r w:rsidR="00186DF0">
        <w:t xml:space="preserve"> (</w:t>
      </w:r>
      <w:r w:rsidR="00186DF0">
        <w:fldChar w:fldCharType="begin"/>
      </w:r>
      <w:r w:rsidR="00186DF0">
        <w:instrText xml:space="preserve"> REF _Ref215665709 \h </w:instrText>
      </w:r>
      <w:r w:rsidR="00186DF0">
        <w:fldChar w:fldCharType="separate"/>
      </w:r>
      <w:r w:rsidR="00186DF0">
        <w:t xml:space="preserve">Figure </w:t>
      </w:r>
      <w:r w:rsidR="00186DF0">
        <w:rPr>
          <w:noProof/>
        </w:rPr>
        <w:t>2</w:t>
      </w:r>
      <w:r w:rsidR="00186DF0">
        <w:fldChar w:fldCharType="end"/>
      </w:r>
      <w:r w:rsidR="00186DF0">
        <w:t>)</w:t>
      </w:r>
      <w:r w:rsidRPr="00E131A0">
        <w:t>. Biopolymer dosing further improved TSS, TS</w:t>
      </w:r>
      <w:r w:rsidR="00186DF0">
        <w:t>S</w:t>
      </w:r>
      <w:r w:rsidR="00186DF0" w:rsidRPr="00186DF0">
        <w:rPr>
          <w:vertAlign w:val="subscript"/>
        </w:rPr>
        <w:t>63</w:t>
      </w:r>
      <w:r w:rsidRPr="00E131A0">
        <w:t>, turbidity, COD</w:t>
      </w:r>
      <w:r w:rsidR="008454CE">
        <w:t>,</w:t>
      </w:r>
      <w:r w:rsidRPr="00E131A0">
        <w:t xml:space="preserve"> and TOC removal in almost all configurations, with the </w:t>
      </w:r>
      <w:r w:rsidR="008454CE">
        <w:t>most substantial</w:t>
      </w:r>
      <w:r w:rsidR="008454CE" w:rsidRPr="00E131A0">
        <w:t xml:space="preserve"> </w:t>
      </w:r>
      <w:r w:rsidRPr="00E131A0">
        <w:t>effect observed in coarse substrates (gravel, shells</w:t>
      </w:r>
      <w:r w:rsidR="00186DF0">
        <w:t xml:space="preserve"> (AA Min.)</w:t>
      </w:r>
      <w:r w:rsidRPr="00E131A0">
        <w:t xml:space="preserve">), which approached the performance of finer media under flocculation-supported operation. In contrast, DOC removal remained largely unaffected by biopolymer addition and depended strongly on </w:t>
      </w:r>
      <w:proofErr w:type="spellStart"/>
      <w:r w:rsidRPr="00E131A0">
        <w:t>sorptive</w:t>
      </w:r>
      <w:proofErr w:type="spellEnd"/>
      <w:r w:rsidRPr="00E131A0">
        <w:t xml:space="preserve"> media such as activated carbon. Nutrient removal was mainly substrate-controlled: zeolite-containing mixes provided the highest NH</w:t>
      </w:r>
      <w:r w:rsidR="00186DF0" w:rsidRPr="00186DF0">
        <w:rPr>
          <w:vertAlign w:val="subscript"/>
        </w:rPr>
        <w:t>4</w:t>
      </w:r>
      <w:r w:rsidR="00186DF0">
        <w:t>-</w:t>
      </w:r>
      <w:r w:rsidRPr="00E131A0">
        <w:t xml:space="preserve">N removal via ion exchange, while phosphorus retention was governed by mineral composition (e.g. carbonate-rich shells) and sorption capacity, with biopolymer dosing having no measurable impact on dissolved phosphate. Overall, the results demonstrate that compact CSO-CW concepts can </w:t>
      </w:r>
      <w:r w:rsidR="008454CE">
        <w:t>achieve particle and bulk organic matter removal rates comparable to those of conventional systems when combined with suitable substrates and</w:t>
      </w:r>
      <w:r w:rsidRPr="00E131A0">
        <w:t xml:space="preserve"> biopolymer dosing.</w:t>
      </w:r>
    </w:p>
    <w:p w14:paraId="23FF9CE3" w14:textId="77777777" w:rsidR="00E131A0" w:rsidRDefault="00E131A0" w:rsidP="00BA6634">
      <w:pPr>
        <w:keepNext/>
        <w:jc w:val="center"/>
      </w:pPr>
      <w:r>
        <w:rPr>
          <w:noProof/>
        </w:rPr>
        <w:drawing>
          <wp:inline distT="0" distB="0" distL="0" distR="0" wp14:anchorId="0E2F368B" wp14:editId="2F75E618">
            <wp:extent cx="5757855" cy="2552700"/>
            <wp:effectExtent l="0" t="0" r="0" b="0"/>
            <wp:docPr id="167246849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468491" name="Grafik 1672468491"/>
                    <pic:cNvPicPr/>
                  </pic:nvPicPr>
                  <pic:blipFill>
                    <a:blip r:embed="rId10"/>
                    <a:stretch>
                      <a:fillRect/>
                    </a:stretch>
                  </pic:blipFill>
                  <pic:spPr>
                    <a:xfrm>
                      <a:off x="0" y="0"/>
                      <a:ext cx="5778502" cy="2561854"/>
                    </a:xfrm>
                    <a:prstGeom prst="rect">
                      <a:avLst/>
                    </a:prstGeom>
                  </pic:spPr>
                </pic:pic>
              </a:graphicData>
            </a:graphic>
          </wp:inline>
        </w:drawing>
      </w:r>
    </w:p>
    <w:p w14:paraId="3D92F7F5" w14:textId="434DEC46" w:rsidR="00E131A0" w:rsidRDefault="00E131A0" w:rsidP="00E131A0">
      <w:pPr>
        <w:pStyle w:val="Legendes"/>
      </w:pPr>
      <w:bookmarkStart w:id="2" w:name="_Ref215665709"/>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E131A0">
        <w:t>Difference (CX/Y-C1/2) in removal efficiency in a) without biopolymer dosing and b) with biopolymer dosing.</w:t>
      </w:r>
    </w:p>
    <w:p w14:paraId="5296A0F8" w14:textId="6983BEEB" w:rsidR="009844DD" w:rsidRDefault="009844DD" w:rsidP="009844DD">
      <w:pPr>
        <w:pStyle w:val="Titre2"/>
      </w:pPr>
      <w:r>
        <w:t>Semi-technical pilot tests</w:t>
      </w:r>
    </w:p>
    <w:p w14:paraId="01E01E12" w14:textId="77090801" w:rsidR="009844DD" w:rsidRPr="009844DD" w:rsidRDefault="009844DD" w:rsidP="009844DD">
      <w:r w:rsidRPr="009844DD">
        <w:t xml:space="preserve">At the time </w:t>
      </w:r>
      <w:r w:rsidR="00253196">
        <w:t>the original abstract was prepared</w:t>
      </w:r>
      <w:r w:rsidRPr="009844DD">
        <w:t xml:space="preserve">, semi-technical experiments with </w:t>
      </w:r>
      <w:r w:rsidR="003F4924">
        <w:t>biopolymer</w:t>
      </w:r>
      <w:r w:rsidRPr="009844DD">
        <w:t xml:space="preserve"> dosing were </w:t>
      </w:r>
      <w:r w:rsidR="003F4924">
        <w:t>being evaluated</w:t>
      </w:r>
      <w:r w:rsidRPr="009844DD">
        <w:t xml:space="preserve">, and no </w:t>
      </w:r>
      <w:proofErr w:type="gramStart"/>
      <w:r w:rsidRPr="009844DD">
        <w:t>final results</w:t>
      </w:r>
      <w:proofErr w:type="gramEnd"/>
      <w:r w:rsidRPr="009844DD">
        <w:t xml:space="preserve"> were yet available. The </w:t>
      </w:r>
      <w:r w:rsidR="003F4924">
        <w:t>semi-technical pilot test</w:t>
      </w:r>
      <w:r w:rsidRPr="009844DD">
        <w:t xml:space="preserve"> is expected to provide insights into (</w:t>
      </w:r>
      <w:proofErr w:type="spellStart"/>
      <w:r w:rsidRPr="009844DD">
        <w:t>i</w:t>
      </w:r>
      <w:proofErr w:type="spellEnd"/>
      <w:r w:rsidRPr="009844DD">
        <w:t xml:space="preserve">) optimal </w:t>
      </w:r>
      <w:r w:rsidR="003F4924">
        <w:t>biopolymer</w:t>
      </w:r>
      <w:r w:rsidRPr="009844DD">
        <w:t xml:space="preserve"> dosage for different CSO event characteristics, (ii) the interaction between substrate properties and flocculation performance under increased hydraulic loading, and (iii) the degree to which flocculation can compensate for reduced residence time. </w:t>
      </w:r>
      <w:r w:rsidR="003F4924">
        <w:t xml:space="preserve">The </w:t>
      </w:r>
      <w:proofErr w:type="gramStart"/>
      <w:r w:rsidR="003F4924">
        <w:t>f</w:t>
      </w:r>
      <w:r w:rsidRPr="009844DD">
        <w:t>inal results</w:t>
      </w:r>
      <w:proofErr w:type="gramEnd"/>
      <w:r w:rsidRPr="009844DD">
        <w:t xml:space="preserve"> will be available for presentation</w:t>
      </w:r>
      <w:r w:rsidR="00253196">
        <w:t xml:space="preserve"> at </w:t>
      </w:r>
      <w:proofErr w:type="spellStart"/>
      <w:r w:rsidR="00253196">
        <w:t>Nova</w:t>
      </w:r>
      <w:r w:rsidR="00FF3F14">
        <w:t>T</w:t>
      </w:r>
      <w:r w:rsidR="00253196">
        <w:t>ech</w:t>
      </w:r>
      <w:proofErr w:type="spellEnd"/>
      <w:r w:rsidRPr="009844DD">
        <w:t xml:space="preserve"> and will refine design recommendations for compact CSO-CW configurations.</w:t>
      </w:r>
    </w:p>
    <w:p w14:paraId="1617EB7E" w14:textId="7BC06AEA" w:rsidR="00C31BFD" w:rsidRPr="005D6F11" w:rsidRDefault="00AD69A5" w:rsidP="00AD69A5">
      <w:pPr>
        <w:pStyle w:val="Titre1"/>
      </w:pPr>
      <w:r>
        <w:t>Conclusion</w:t>
      </w:r>
    </w:p>
    <w:p w14:paraId="12BEAFEC" w14:textId="6BEBD281" w:rsidR="00BA6634" w:rsidRDefault="00186DF0" w:rsidP="005667E5">
      <w:pPr>
        <w:rPr>
          <w:rFonts w:cstheme="minorHAnsi"/>
        </w:rPr>
      </w:pPr>
      <w:r w:rsidRPr="00186DF0">
        <w:rPr>
          <w:rFonts w:cstheme="minorHAnsi"/>
        </w:rPr>
        <w:t xml:space="preserve">The results demonstrate that compact CSO-CWs operated at doubled hydraulic loading can achieve removal efficiencies comparable to conventional systems when substrate selection and operational measures are appropriately combined. Fine-grained and </w:t>
      </w:r>
      <w:proofErr w:type="spellStart"/>
      <w:r w:rsidRPr="00186DF0">
        <w:rPr>
          <w:rFonts w:cstheme="minorHAnsi"/>
        </w:rPr>
        <w:t>sorptive</w:t>
      </w:r>
      <w:proofErr w:type="spellEnd"/>
      <w:r w:rsidRPr="00186DF0">
        <w:rPr>
          <w:rFonts w:cstheme="minorHAnsi"/>
        </w:rPr>
        <w:t xml:space="preserve"> media inherently ensured high retention of particulates and organic matter, while biopolymer dosing substantially enhanced the performance of coarse substrates, enabling robust particle removal across all configurations. </w:t>
      </w:r>
      <w:proofErr w:type="spellStart"/>
      <w:r w:rsidRPr="00186DF0">
        <w:rPr>
          <w:rFonts w:cstheme="minorHAnsi"/>
        </w:rPr>
        <w:t>Sorptive</w:t>
      </w:r>
      <w:proofErr w:type="spellEnd"/>
      <w:r w:rsidRPr="00186DF0">
        <w:rPr>
          <w:rFonts w:cstheme="minorHAnsi"/>
        </w:rPr>
        <w:t xml:space="preserve"> mechanisms remained essential for dissolved organics, with activated carbon achieving the highest COD, TOC and DOC reductions. Nutrient removal was substrate-driven, with zeolite providing the most effective NH</w:t>
      </w:r>
      <w:r w:rsidRPr="00186DF0">
        <w:rPr>
          <w:rFonts w:cstheme="minorHAnsi"/>
          <w:vertAlign w:val="subscript"/>
        </w:rPr>
        <w:t>4</w:t>
      </w:r>
      <w:r w:rsidRPr="00186DF0">
        <w:rPr>
          <w:rFonts w:cstheme="minorHAnsi"/>
        </w:rPr>
        <w:t>-N retention through ion exchange, and phosphorus removal depending on mineral composition rather than biopolymer addition. Overall, the integration of hydraulic intensification with targeted substrate selection and biopolymer dosing establishes compact CSO-CWs as a technically feasible option for space-constrained urban environments.</w:t>
      </w:r>
    </w:p>
    <w:p w14:paraId="2C6F5672" w14:textId="77777777" w:rsidR="000C0719" w:rsidRDefault="000C0719" w:rsidP="005667E5">
      <w:pPr>
        <w:rPr>
          <w:rFonts w:cstheme="minorHAnsi"/>
        </w:rPr>
      </w:pPr>
    </w:p>
    <w:p w14:paraId="22035A35" w14:textId="46999386" w:rsidR="000C0719" w:rsidRPr="00E31B70" w:rsidRDefault="000C0719" w:rsidP="00E31B70">
      <w:pPr>
        <w:rPr>
          <w:b/>
          <w:bCs/>
          <w:caps/>
          <w:color w:val="00708E"/>
          <w:sz w:val="24"/>
          <w:szCs w:val="32"/>
        </w:rPr>
      </w:pPr>
      <w:r w:rsidRPr="00E31B70">
        <w:rPr>
          <w:b/>
          <w:bCs/>
          <w:caps/>
          <w:color w:val="00708E"/>
          <w:sz w:val="24"/>
          <w:szCs w:val="32"/>
        </w:rPr>
        <w:lastRenderedPageBreak/>
        <w:t>Acknowledgments</w:t>
      </w:r>
    </w:p>
    <w:p w14:paraId="0B6C9158" w14:textId="77777777" w:rsidR="00E31B70" w:rsidRDefault="00E31B70" w:rsidP="00E31B70">
      <w:r>
        <w:t>This project has received funding from the European Union’s Horizon Europe research and innovation programme under grant agreement No 101060428.</w:t>
      </w:r>
    </w:p>
    <w:p w14:paraId="50F78F7B" w14:textId="108DAB50" w:rsidR="00BA6634" w:rsidRDefault="00E31B70" w:rsidP="00E31B70">
      <w:pPr>
        <w:rPr>
          <w:rFonts w:cstheme="minorHAnsi"/>
        </w:rPr>
      </w:pPr>
      <w:r>
        <w:t xml:space="preserve">The authors gratefully acknowledge the valuable support provided by former colleague Leonie Wacker (formerly with ISA, RWTH Aachen University), who was primarily responsible for conducting the flocculant experiments. We further thank Leonie Borges and Kevser Gürbüz for their assistance as student research assistants, </w:t>
      </w:r>
      <w:r w:rsidR="00253196">
        <w:t xml:space="preserve">who contributed to the </w:t>
      </w:r>
      <w:r>
        <w:t>experimental work.</w:t>
      </w:r>
    </w:p>
    <w:p w14:paraId="386FA569" w14:textId="53603314" w:rsidR="00C31BFD" w:rsidRPr="001E2744" w:rsidRDefault="006A683B" w:rsidP="006A683B">
      <w:pPr>
        <w:pStyle w:val="Titre"/>
        <w:rPr>
          <w:color w:val="auto"/>
          <w:lang w:val="de-DE"/>
        </w:rPr>
      </w:pPr>
      <w:r w:rsidRPr="001E2744">
        <w:rPr>
          <w:color w:val="auto"/>
          <w:lang w:val="de-DE"/>
        </w:rPr>
        <w:t>LIST OF REFERENCES</w:t>
      </w:r>
    </w:p>
    <w:p w14:paraId="4439257B" w14:textId="04A1EE99" w:rsidR="00BA6634" w:rsidRDefault="00BA6634" w:rsidP="00735EBE">
      <w:pPr>
        <w:ind w:left="284" w:hanging="284"/>
        <w:rPr>
          <w:rStyle w:val="Rfrenceintense"/>
          <w:rFonts w:cstheme="minorHAnsi"/>
          <w:lang w:val="de-DE"/>
        </w:rPr>
      </w:pPr>
      <w:r>
        <w:rPr>
          <w:rStyle w:val="Rfrenceintense"/>
          <w:rFonts w:cstheme="minorHAnsi"/>
          <w:lang w:val="de-DE"/>
        </w:rPr>
        <w:t xml:space="preserve">DWA (2019). </w:t>
      </w:r>
      <w:r w:rsidRPr="00BA6634">
        <w:rPr>
          <w:rStyle w:val="Rfrenceintense"/>
          <w:rFonts w:cstheme="minorHAnsi"/>
          <w:i/>
          <w:iCs/>
          <w:lang w:val="de-DE"/>
        </w:rPr>
        <w:t xml:space="preserve">Arbeitsblatt A-178 Retentionsbodenfilteranlagen (in </w:t>
      </w:r>
      <w:proofErr w:type="spellStart"/>
      <w:r w:rsidRPr="00BA6634">
        <w:rPr>
          <w:rStyle w:val="Rfrenceintense"/>
          <w:rFonts w:cstheme="minorHAnsi"/>
          <w:i/>
          <w:iCs/>
          <w:lang w:val="de-DE"/>
        </w:rPr>
        <w:t>german</w:t>
      </w:r>
      <w:proofErr w:type="spellEnd"/>
      <w:r w:rsidRPr="00BA6634">
        <w:rPr>
          <w:rStyle w:val="Rfrenceintense"/>
          <w:rFonts w:cstheme="minorHAnsi"/>
          <w:i/>
          <w:iCs/>
          <w:lang w:val="de-DE"/>
        </w:rPr>
        <w:t xml:space="preserve">). Retention </w:t>
      </w:r>
      <w:proofErr w:type="spellStart"/>
      <w:r w:rsidRPr="00BA6634">
        <w:rPr>
          <w:rStyle w:val="Rfrenceintense"/>
          <w:rFonts w:cstheme="minorHAnsi"/>
          <w:i/>
          <w:iCs/>
          <w:lang w:val="de-DE"/>
        </w:rPr>
        <w:t>soil</w:t>
      </w:r>
      <w:proofErr w:type="spellEnd"/>
      <w:r w:rsidRPr="00BA6634">
        <w:rPr>
          <w:rStyle w:val="Rfrenceintense"/>
          <w:rFonts w:cstheme="minorHAnsi"/>
          <w:i/>
          <w:iCs/>
          <w:lang w:val="de-DE"/>
        </w:rPr>
        <w:t xml:space="preserve"> </w:t>
      </w:r>
      <w:proofErr w:type="spellStart"/>
      <w:r w:rsidRPr="00BA6634">
        <w:rPr>
          <w:rStyle w:val="Rfrenceintense"/>
          <w:rFonts w:cstheme="minorHAnsi"/>
          <w:i/>
          <w:iCs/>
          <w:lang w:val="de-DE"/>
        </w:rPr>
        <w:t>filter</w:t>
      </w:r>
      <w:proofErr w:type="spellEnd"/>
      <w:r w:rsidRPr="00BA6634">
        <w:rPr>
          <w:rStyle w:val="Rfrenceintense"/>
          <w:rFonts w:cstheme="minorHAnsi"/>
          <w:i/>
          <w:iCs/>
          <w:lang w:val="de-DE"/>
        </w:rPr>
        <w:t xml:space="preserve"> </w:t>
      </w:r>
      <w:proofErr w:type="spellStart"/>
      <w:r w:rsidRPr="00BA6634">
        <w:rPr>
          <w:rStyle w:val="Rfrenceintense"/>
          <w:rFonts w:cstheme="minorHAnsi"/>
          <w:i/>
          <w:iCs/>
          <w:lang w:val="de-DE"/>
        </w:rPr>
        <w:t>systems</w:t>
      </w:r>
      <w:proofErr w:type="spellEnd"/>
      <w:r w:rsidRPr="00BA6634">
        <w:rPr>
          <w:rStyle w:val="Rfrenceintense"/>
          <w:rFonts w:cstheme="minorHAnsi"/>
          <w:lang w:val="de-DE"/>
        </w:rPr>
        <w:t xml:space="preserve">, 1st </w:t>
      </w:r>
      <w:proofErr w:type="spellStart"/>
      <w:r w:rsidRPr="00BA6634">
        <w:rPr>
          <w:rStyle w:val="Rfrenceintense"/>
          <w:rFonts w:cstheme="minorHAnsi"/>
          <w:lang w:val="de-DE"/>
        </w:rPr>
        <w:t>ed</w:t>
      </w:r>
      <w:proofErr w:type="spellEnd"/>
      <w:r w:rsidRPr="00BA6634">
        <w:rPr>
          <w:rStyle w:val="Rfrenceintense"/>
          <w:rFonts w:cstheme="minorHAnsi"/>
          <w:lang w:val="de-DE"/>
        </w:rPr>
        <w:t>. Deutsche Vereinigung für Wasserwirtschaft Abwasser und Abfall, Hennef, 41 pp</w:t>
      </w:r>
      <w:r>
        <w:rPr>
          <w:rStyle w:val="Rfrenceintense"/>
          <w:rFonts w:cstheme="minorHAnsi"/>
          <w:lang w:val="de-DE"/>
        </w:rPr>
        <w:t>.</w:t>
      </w:r>
    </w:p>
    <w:p w14:paraId="29F8C95A" w14:textId="0546B532" w:rsidR="00BA6634" w:rsidRPr="001E2744" w:rsidRDefault="00BA6634" w:rsidP="00735EBE">
      <w:pPr>
        <w:ind w:left="284" w:hanging="284"/>
        <w:rPr>
          <w:rStyle w:val="Rfrenceintense"/>
          <w:rFonts w:cstheme="minorHAnsi"/>
          <w:lang w:val="en-US"/>
        </w:rPr>
      </w:pPr>
      <w:r w:rsidRPr="00BA6634">
        <w:rPr>
          <w:rStyle w:val="Rfrenceintense"/>
          <w:rFonts w:cstheme="minorHAnsi"/>
          <w:lang w:val="de-DE"/>
        </w:rPr>
        <w:t xml:space="preserve">Grotehusmann, D., Uhl, M., Fuchs, S., Lambert, B. </w:t>
      </w:r>
      <w:r>
        <w:rPr>
          <w:rStyle w:val="Rfrenceintense"/>
          <w:rFonts w:cstheme="minorHAnsi"/>
          <w:lang w:val="de-DE"/>
        </w:rPr>
        <w:t>(</w:t>
      </w:r>
      <w:r w:rsidRPr="00BA6634">
        <w:rPr>
          <w:rStyle w:val="Rfrenceintense"/>
          <w:rFonts w:cstheme="minorHAnsi"/>
          <w:lang w:val="de-DE"/>
        </w:rPr>
        <w:t>2015</w:t>
      </w:r>
      <w:r>
        <w:rPr>
          <w:rStyle w:val="Rfrenceintense"/>
          <w:rFonts w:cstheme="minorHAnsi"/>
          <w:lang w:val="de-DE"/>
        </w:rPr>
        <w:t>)</w:t>
      </w:r>
      <w:r w:rsidRPr="00BA6634">
        <w:rPr>
          <w:rStyle w:val="Rfrenceintense"/>
          <w:rFonts w:cstheme="minorHAnsi"/>
          <w:lang w:val="de-DE"/>
        </w:rPr>
        <w:t xml:space="preserve">. </w:t>
      </w:r>
      <w:r w:rsidRPr="00BA6634">
        <w:rPr>
          <w:rStyle w:val="Rfrenceintense"/>
          <w:rFonts w:cstheme="minorHAnsi"/>
          <w:i/>
          <w:iCs/>
          <w:lang w:val="de-DE"/>
        </w:rPr>
        <w:t xml:space="preserve">Retentionsbodenfilter-Handbuch für Planung, Bau und Betrieb (in </w:t>
      </w:r>
      <w:proofErr w:type="spellStart"/>
      <w:r w:rsidRPr="00BA6634">
        <w:rPr>
          <w:rStyle w:val="Rfrenceintense"/>
          <w:rFonts w:cstheme="minorHAnsi"/>
          <w:i/>
          <w:iCs/>
          <w:lang w:val="de-DE"/>
        </w:rPr>
        <w:t>german</w:t>
      </w:r>
      <w:proofErr w:type="spellEnd"/>
      <w:r w:rsidRPr="00BA6634">
        <w:rPr>
          <w:rStyle w:val="Rfrenceintense"/>
          <w:rFonts w:cstheme="minorHAnsi"/>
          <w:i/>
          <w:iCs/>
          <w:lang w:val="de-DE"/>
        </w:rPr>
        <w:t xml:space="preserve">). </w:t>
      </w:r>
      <w:r w:rsidRPr="001E2744">
        <w:rPr>
          <w:rStyle w:val="Rfrenceintense"/>
          <w:rFonts w:cstheme="minorHAnsi"/>
          <w:i/>
          <w:iCs/>
          <w:lang w:val="en-US"/>
        </w:rPr>
        <w:t>Retention soil filter manual for planning, construction and operation</w:t>
      </w:r>
      <w:r w:rsidRPr="001E2744">
        <w:rPr>
          <w:rStyle w:val="Rfrenceintense"/>
          <w:rFonts w:cstheme="minorHAnsi"/>
          <w:lang w:val="en-US"/>
        </w:rPr>
        <w:t>. Ministry for Climate Protection, Environment, Agriculture, Nature Conservation and Consumer Protection of the State of North Rhine-Westphalia (MKULNV), 86 pp.</w:t>
      </w:r>
    </w:p>
    <w:p w14:paraId="02A0CD8C" w14:textId="2727A0EE" w:rsidR="00BA6634" w:rsidRPr="001E2744" w:rsidRDefault="00BA6634" w:rsidP="00BA6634">
      <w:pPr>
        <w:ind w:left="284" w:hanging="284"/>
        <w:rPr>
          <w:rStyle w:val="Rfrenceintense"/>
          <w:rFonts w:cstheme="minorHAnsi"/>
          <w:lang w:val="en-US"/>
        </w:rPr>
      </w:pPr>
      <w:r w:rsidRPr="00BA6634">
        <w:rPr>
          <w:rStyle w:val="Rfrenceintense"/>
          <w:rFonts w:cstheme="minorHAnsi"/>
          <w:lang w:val="de-DE"/>
        </w:rPr>
        <w:t xml:space="preserve">Meyer, D., Molle, P., Esser, D., Troesch, S., Masi, F., Dittmer, U. </w:t>
      </w:r>
      <w:r>
        <w:rPr>
          <w:rStyle w:val="Rfrenceintense"/>
          <w:rFonts w:cstheme="minorHAnsi"/>
          <w:lang w:val="de-DE"/>
        </w:rPr>
        <w:t>(</w:t>
      </w:r>
      <w:r w:rsidRPr="00BA6634">
        <w:rPr>
          <w:rStyle w:val="Rfrenceintense"/>
          <w:rFonts w:cstheme="minorHAnsi"/>
          <w:lang w:val="de-DE"/>
        </w:rPr>
        <w:t>2013</w:t>
      </w:r>
      <w:r>
        <w:rPr>
          <w:rStyle w:val="Rfrenceintense"/>
          <w:rFonts w:cstheme="minorHAnsi"/>
          <w:lang w:val="de-DE"/>
        </w:rPr>
        <w:t>)</w:t>
      </w:r>
      <w:r w:rsidRPr="00BA6634">
        <w:rPr>
          <w:rStyle w:val="Rfrenceintense"/>
          <w:rFonts w:cstheme="minorHAnsi"/>
          <w:lang w:val="de-DE"/>
        </w:rPr>
        <w:t xml:space="preserve">. </w:t>
      </w:r>
      <w:r w:rsidRPr="001E2744">
        <w:rPr>
          <w:rStyle w:val="Rfrenceintense"/>
          <w:rFonts w:cstheme="minorHAnsi"/>
          <w:i/>
          <w:iCs/>
          <w:lang w:val="en-US"/>
        </w:rPr>
        <w:t>Constructed Wetlands for Combined Sewer Overflow Treatment—Comparison of German, French and Italian Approaches</w:t>
      </w:r>
      <w:r w:rsidRPr="001E2744">
        <w:rPr>
          <w:rStyle w:val="Rfrenceintense"/>
          <w:rFonts w:cstheme="minorHAnsi"/>
          <w:lang w:val="en-US"/>
        </w:rPr>
        <w:t>. Water 5 (1), 1–12. DOI: 10.3390/w5010001.</w:t>
      </w:r>
    </w:p>
    <w:p w14:paraId="62DE19D9" w14:textId="012DA031" w:rsidR="00BA6634" w:rsidRPr="001E2744" w:rsidRDefault="00BA6634" w:rsidP="00BA6634">
      <w:pPr>
        <w:ind w:left="284" w:hanging="284"/>
        <w:rPr>
          <w:rStyle w:val="Rfrenceintense"/>
          <w:rFonts w:cstheme="minorHAnsi"/>
          <w:lang w:val="en-US"/>
        </w:rPr>
      </w:pPr>
      <w:r w:rsidRPr="001E2744">
        <w:rPr>
          <w:rStyle w:val="Rfrenceintense"/>
          <w:rFonts w:cstheme="minorHAnsi"/>
          <w:lang w:val="en-US"/>
        </w:rPr>
        <w:t xml:space="preserve">Rizzo, A., </w:t>
      </w:r>
      <w:proofErr w:type="spellStart"/>
      <w:r w:rsidRPr="001E2744">
        <w:rPr>
          <w:rStyle w:val="Rfrenceintense"/>
          <w:rFonts w:cstheme="minorHAnsi"/>
          <w:lang w:val="en-US"/>
        </w:rPr>
        <w:t>Tondera</w:t>
      </w:r>
      <w:proofErr w:type="spellEnd"/>
      <w:r w:rsidRPr="001E2744">
        <w:rPr>
          <w:rStyle w:val="Rfrenceintense"/>
          <w:rFonts w:cstheme="minorHAnsi"/>
          <w:lang w:val="en-US"/>
        </w:rPr>
        <w:t xml:space="preserve">, K., Pálfy, T.G., Dittmer, U., Meyer, D., Schreiber, C., Zacharias, N., Ruppelt, J.P., Esser, D., Molle, P., Troesch, S., Masi, F. (2020). </w:t>
      </w:r>
      <w:r w:rsidRPr="001E2744">
        <w:rPr>
          <w:rStyle w:val="Rfrenceintense"/>
          <w:rFonts w:cstheme="minorHAnsi"/>
          <w:i/>
          <w:lang w:val="en-US"/>
        </w:rPr>
        <w:t>Constructed wetlands for combined sewer overflow treatment: A state-of-the-art review</w:t>
      </w:r>
      <w:r w:rsidRPr="001E2744">
        <w:rPr>
          <w:rStyle w:val="Rfrenceintense"/>
          <w:rFonts w:cstheme="minorHAnsi"/>
          <w:lang w:val="en-US"/>
        </w:rPr>
        <w:t>. Sci Total Environ 727, 138618. DOI: 10.1016/j.scitotenv.2020.138618.</w:t>
      </w:r>
    </w:p>
    <w:p w14:paraId="65F9FFB7" w14:textId="31B9418C" w:rsidR="00BA6634" w:rsidRDefault="00BA6634" w:rsidP="00BA6634">
      <w:pPr>
        <w:ind w:left="284" w:hanging="284"/>
        <w:rPr>
          <w:rStyle w:val="Rfrenceintense"/>
          <w:rFonts w:cstheme="minorHAnsi"/>
          <w:lang w:val="de-DE"/>
        </w:rPr>
      </w:pPr>
      <w:proofErr w:type="spellStart"/>
      <w:r w:rsidRPr="001E2744">
        <w:rPr>
          <w:rStyle w:val="Rfrenceintense"/>
          <w:rFonts w:cstheme="minorHAnsi"/>
          <w:lang w:val="en-US"/>
        </w:rPr>
        <w:t>Tondera</w:t>
      </w:r>
      <w:proofErr w:type="spellEnd"/>
      <w:r w:rsidRPr="001E2744">
        <w:rPr>
          <w:rStyle w:val="Rfrenceintense"/>
          <w:rFonts w:cstheme="minorHAnsi"/>
          <w:lang w:val="en-US"/>
        </w:rPr>
        <w:t xml:space="preserve">, K. (2019). </w:t>
      </w:r>
      <w:r w:rsidRPr="001E2744">
        <w:rPr>
          <w:rStyle w:val="Rfrenceintense"/>
          <w:rFonts w:cstheme="minorHAnsi"/>
          <w:i/>
          <w:iCs/>
          <w:lang w:val="en-US"/>
        </w:rPr>
        <w:t>Evaluating the performance of constructed wetlands for the treatment of combined sewer overflows</w:t>
      </w:r>
      <w:r w:rsidRPr="001E2744">
        <w:rPr>
          <w:rStyle w:val="Rfrenceintense"/>
          <w:rFonts w:cstheme="minorHAnsi"/>
          <w:lang w:val="en-US"/>
        </w:rPr>
        <w:t xml:space="preserve">. </w:t>
      </w:r>
      <w:proofErr w:type="spellStart"/>
      <w:r w:rsidRPr="00BA6634">
        <w:rPr>
          <w:rStyle w:val="Rfrenceintense"/>
          <w:rFonts w:cstheme="minorHAnsi"/>
          <w:lang w:val="de-DE"/>
        </w:rPr>
        <w:t>Ecological</w:t>
      </w:r>
      <w:proofErr w:type="spellEnd"/>
      <w:r w:rsidRPr="00BA6634">
        <w:rPr>
          <w:rStyle w:val="Rfrenceintense"/>
          <w:rFonts w:cstheme="minorHAnsi"/>
          <w:lang w:val="de-DE"/>
        </w:rPr>
        <w:t xml:space="preserve"> Engineering 137, 53–59.</w:t>
      </w:r>
      <w:r>
        <w:rPr>
          <w:rStyle w:val="Rfrenceintense"/>
          <w:rFonts w:cstheme="minorHAnsi"/>
          <w:lang w:val="de-DE"/>
        </w:rPr>
        <w:t xml:space="preserve"> </w:t>
      </w:r>
      <w:r w:rsidRPr="00BA6634">
        <w:rPr>
          <w:rStyle w:val="Rfrenceintense"/>
          <w:rFonts w:cstheme="minorHAnsi"/>
          <w:lang w:val="de-DE"/>
        </w:rPr>
        <w:t>DOI: 10.1016/j.ecoleng.2017.10.009</w:t>
      </w:r>
      <w:r>
        <w:rPr>
          <w:rStyle w:val="Rfrenceintense"/>
          <w:rFonts w:cstheme="minorHAnsi"/>
          <w:lang w:val="de-DE"/>
        </w:rPr>
        <w:t>.</w:t>
      </w:r>
    </w:p>
    <w:sectPr w:rsidR="00BA6634" w:rsidSect="00406F9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850" w:footer="850" w:gutter="0"/>
      <w:paperSrc w:firs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8B67" w14:textId="77777777" w:rsidR="00003151" w:rsidRDefault="00003151" w:rsidP="005667E5">
      <w:r>
        <w:separator/>
      </w:r>
    </w:p>
    <w:p w14:paraId="5F87E720" w14:textId="77777777" w:rsidR="00003151" w:rsidRDefault="00003151"/>
  </w:endnote>
  <w:endnote w:type="continuationSeparator" w:id="0">
    <w:p w14:paraId="42D9EDA6" w14:textId="77777777" w:rsidR="00003151" w:rsidRDefault="00003151" w:rsidP="005667E5">
      <w:r>
        <w:continuationSeparator/>
      </w:r>
    </w:p>
    <w:p w14:paraId="3D7EC881" w14:textId="77777777" w:rsidR="00003151" w:rsidRDefault="00003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30E8" w14:textId="77777777" w:rsidR="00370415" w:rsidRPr="00E04432" w:rsidRDefault="00370415" w:rsidP="00786072">
    <w:pPr>
      <w:pBdr>
        <w:top w:val="single" w:sz="4" w:space="1" w:color="auto"/>
      </w:pBdr>
      <w:jc w:val="lef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2</w:t>
    </w:r>
    <w:r w:rsidRPr="00E04432">
      <w:rPr>
        <w:sz w:val="16"/>
      </w:rPr>
      <w:fldChar w:fldCharType="end"/>
    </w:r>
  </w:p>
  <w:p w14:paraId="548FF937" w14:textId="77777777" w:rsidR="007C5057" w:rsidRDefault="007C50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01EB9" w14:textId="77777777" w:rsidR="00370415" w:rsidRPr="00E04432" w:rsidRDefault="00370415" w:rsidP="007073B8">
    <w:pPr>
      <w:pBdr>
        <w:top w:val="single" w:sz="4" w:space="1" w:color="auto"/>
      </w:pBdr>
      <w:jc w:val="righ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1</w:t>
    </w:r>
    <w:r w:rsidRPr="00E04432">
      <w:rPr>
        <w:sz w:val="16"/>
      </w:rPr>
      <w:fldChar w:fldCharType="end"/>
    </w:r>
  </w:p>
  <w:p w14:paraId="076751A3" w14:textId="77777777" w:rsidR="007C5057" w:rsidRDefault="007C505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946CD" w14:textId="77777777" w:rsidR="00E31B70" w:rsidRDefault="00E31B7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8AE2A" w14:textId="77777777" w:rsidR="00003151" w:rsidRDefault="00003151" w:rsidP="005667E5">
      <w:r>
        <w:separator/>
      </w:r>
    </w:p>
    <w:p w14:paraId="70BE63DC" w14:textId="77777777" w:rsidR="00003151" w:rsidRDefault="00003151"/>
  </w:footnote>
  <w:footnote w:type="continuationSeparator" w:id="0">
    <w:p w14:paraId="3F60EDC9" w14:textId="77777777" w:rsidR="00003151" w:rsidRDefault="00003151" w:rsidP="005667E5">
      <w:r>
        <w:continuationSeparator/>
      </w:r>
    </w:p>
    <w:p w14:paraId="048F12B0" w14:textId="77777777" w:rsidR="00003151" w:rsidRDefault="000031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1621" w14:textId="77777777" w:rsidR="00370415" w:rsidRPr="0019193B" w:rsidRDefault="00370415" w:rsidP="005D6F11">
    <w:pPr>
      <w:pStyle w:val="en-tte0"/>
      <w:ind w:left="0" w:firstLine="0"/>
      <w:jc w:val="left"/>
    </w:pPr>
  </w:p>
  <w:p w14:paraId="68D3A87B" w14:textId="77777777" w:rsidR="007C5057" w:rsidRDefault="007C50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6FC" w14:textId="0AE7F88F" w:rsidR="00370415" w:rsidRPr="009D500F" w:rsidRDefault="009D500F" w:rsidP="009D500F">
    <w:pPr>
      <w:pStyle w:val="En-tte"/>
      <w:pBdr>
        <w:bottom w:val="single" w:sz="4" w:space="1" w:color="auto"/>
      </w:pBdr>
      <w:jc w:val="center"/>
      <w:rPr>
        <w:rFonts w:cstheme="minorHAnsi"/>
        <w:b/>
        <w:color w:val="00708E"/>
        <w:sz w:val="20"/>
      </w:rPr>
    </w:pPr>
    <w:r w:rsidRPr="009D500F">
      <w:rPr>
        <w:rFonts w:cstheme="minorHAnsi"/>
        <w:b/>
        <w:color w:val="00708E"/>
        <w:sz w:val="20"/>
      </w:rPr>
      <w:t>NOVATECH 202</w:t>
    </w:r>
    <w:r w:rsidR="00061D24">
      <w:rPr>
        <w:rFonts w:cstheme="minorHAnsi"/>
        <w:b/>
        <w:color w:val="00708E"/>
        <w:sz w:val="20"/>
      </w:rPr>
      <w:t>6</w:t>
    </w:r>
  </w:p>
  <w:p w14:paraId="66126282" w14:textId="77777777" w:rsidR="007C5057" w:rsidRDefault="007C505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16C9B" w14:textId="77777777" w:rsidR="00E31B70" w:rsidRDefault="00E31B7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5756730"/>
    <w:multiLevelType w:val="multilevel"/>
    <w:tmpl w:val="7474E56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1153374245">
    <w:abstractNumId w:val="1"/>
  </w:num>
  <w:num w:numId="2" w16cid:durableId="728966107">
    <w:abstractNumId w:val="0"/>
  </w:num>
  <w:num w:numId="3" w16cid:durableId="384642938">
    <w:abstractNumId w:val="4"/>
  </w:num>
  <w:num w:numId="4" w16cid:durableId="502670478">
    <w:abstractNumId w:val="2"/>
  </w:num>
  <w:num w:numId="5" w16cid:durableId="755371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defaultTabStop w:val="708"/>
  <w:hyphenationZone w:val="425"/>
  <w:evenAndOddHeaders/>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03151"/>
    <w:rsid w:val="00023D54"/>
    <w:rsid w:val="00061D24"/>
    <w:rsid w:val="0008016D"/>
    <w:rsid w:val="000A7243"/>
    <w:rsid w:val="000B548D"/>
    <w:rsid w:val="000C0719"/>
    <w:rsid w:val="000C4446"/>
    <w:rsid w:val="000C49AF"/>
    <w:rsid w:val="0012100D"/>
    <w:rsid w:val="00121882"/>
    <w:rsid w:val="00183221"/>
    <w:rsid w:val="00183BB7"/>
    <w:rsid w:val="00186DF0"/>
    <w:rsid w:val="0019193B"/>
    <w:rsid w:val="001E2744"/>
    <w:rsid w:val="001F63F4"/>
    <w:rsid w:val="00253196"/>
    <w:rsid w:val="00283DA0"/>
    <w:rsid w:val="002E0E07"/>
    <w:rsid w:val="002F6454"/>
    <w:rsid w:val="00326D40"/>
    <w:rsid w:val="003569E0"/>
    <w:rsid w:val="00370415"/>
    <w:rsid w:val="00386C6E"/>
    <w:rsid w:val="00397B39"/>
    <w:rsid w:val="003B43B7"/>
    <w:rsid w:val="003B78A4"/>
    <w:rsid w:val="003E33A4"/>
    <w:rsid w:val="003E5D6F"/>
    <w:rsid w:val="003F4924"/>
    <w:rsid w:val="00406F9D"/>
    <w:rsid w:val="00417639"/>
    <w:rsid w:val="00453BFC"/>
    <w:rsid w:val="00455B3A"/>
    <w:rsid w:val="004B290B"/>
    <w:rsid w:val="004D09FB"/>
    <w:rsid w:val="004E16A1"/>
    <w:rsid w:val="004E25C2"/>
    <w:rsid w:val="004E6436"/>
    <w:rsid w:val="00544E67"/>
    <w:rsid w:val="00547F41"/>
    <w:rsid w:val="005663F1"/>
    <w:rsid w:val="005667E5"/>
    <w:rsid w:val="0056699D"/>
    <w:rsid w:val="005A6353"/>
    <w:rsid w:val="005D0014"/>
    <w:rsid w:val="005D6F11"/>
    <w:rsid w:val="00615406"/>
    <w:rsid w:val="00637B55"/>
    <w:rsid w:val="006471AE"/>
    <w:rsid w:val="00647EFF"/>
    <w:rsid w:val="00695369"/>
    <w:rsid w:val="006A683B"/>
    <w:rsid w:val="006A7351"/>
    <w:rsid w:val="006B16AF"/>
    <w:rsid w:val="006F729B"/>
    <w:rsid w:val="00700E48"/>
    <w:rsid w:val="007073B8"/>
    <w:rsid w:val="007146BE"/>
    <w:rsid w:val="00735EBE"/>
    <w:rsid w:val="00737413"/>
    <w:rsid w:val="00737F5E"/>
    <w:rsid w:val="007460AE"/>
    <w:rsid w:val="00747D7C"/>
    <w:rsid w:val="007513E2"/>
    <w:rsid w:val="00786072"/>
    <w:rsid w:val="0079199C"/>
    <w:rsid w:val="007A61AF"/>
    <w:rsid w:val="007A7119"/>
    <w:rsid w:val="007B346C"/>
    <w:rsid w:val="007B7EBB"/>
    <w:rsid w:val="007C5057"/>
    <w:rsid w:val="0080091A"/>
    <w:rsid w:val="00802D46"/>
    <w:rsid w:val="00805D49"/>
    <w:rsid w:val="008454CE"/>
    <w:rsid w:val="00872B7D"/>
    <w:rsid w:val="00883827"/>
    <w:rsid w:val="008839C5"/>
    <w:rsid w:val="00885554"/>
    <w:rsid w:val="008C6D20"/>
    <w:rsid w:val="008F7FAE"/>
    <w:rsid w:val="009619F0"/>
    <w:rsid w:val="0097746D"/>
    <w:rsid w:val="009844DD"/>
    <w:rsid w:val="009B744D"/>
    <w:rsid w:val="009D500F"/>
    <w:rsid w:val="009E6576"/>
    <w:rsid w:val="00A055BB"/>
    <w:rsid w:val="00A05F03"/>
    <w:rsid w:val="00A32839"/>
    <w:rsid w:val="00A605BF"/>
    <w:rsid w:val="00A62561"/>
    <w:rsid w:val="00A9340B"/>
    <w:rsid w:val="00AA1C3A"/>
    <w:rsid w:val="00AD69A5"/>
    <w:rsid w:val="00B041EB"/>
    <w:rsid w:val="00B12D00"/>
    <w:rsid w:val="00B20BE5"/>
    <w:rsid w:val="00B266A6"/>
    <w:rsid w:val="00B76FD1"/>
    <w:rsid w:val="00BA135E"/>
    <w:rsid w:val="00BA6634"/>
    <w:rsid w:val="00BB1267"/>
    <w:rsid w:val="00C0789A"/>
    <w:rsid w:val="00C10FB4"/>
    <w:rsid w:val="00C11F79"/>
    <w:rsid w:val="00C2487F"/>
    <w:rsid w:val="00C26503"/>
    <w:rsid w:val="00C274A0"/>
    <w:rsid w:val="00C31BFD"/>
    <w:rsid w:val="00C636C8"/>
    <w:rsid w:val="00C71C8B"/>
    <w:rsid w:val="00C772A9"/>
    <w:rsid w:val="00CA1E44"/>
    <w:rsid w:val="00CC4916"/>
    <w:rsid w:val="00D13121"/>
    <w:rsid w:val="00D51BCE"/>
    <w:rsid w:val="00D62A2F"/>
    <w:rsid w:val="00D70620"/>
    <w:rsid w:val="00D77F96"/>
    <w:rsid w:val="00DA7D7D"/>
    <w:rsid w:val="00DB07B8"/>
    <w:rsid w:val="00DC4FD1"/>
    <w:rsid w:val="00DE20F1"/>
    <w:rsid w:val="00DE549A"/>
    <w:rsid w:val="00E04432"/>
    <w:rsid w:val="00E05E55"/>
    <w:rsid w:val="00E131A0"/>
    <w:rsid w:val="00E17DFD"/>
    <w:rsid w:val="00E221E7"/>
    <w:rsid w:val="00E31B70"/>
    <w:rsid w:val="00E615B3"/>
    <w:rsid w:val="00E95F74"/>
    <w:rsid w:val="00EA64D5"/>
    <w:rsid w:val="00EC2900"/>
    <w:rsid w:val="00EC314C"/>
    <w:rsid w:val="00EE3C79"/>
    <w:rsid w:val="00EE5DF7"/>
    <w:rsid w:val="00F03D82"/>
    <w:rsid w:val="00F747BF"/>
    <w:rsid w:val="00F872C5"/>
    <w:rsid w:val="00F91C97"/>
    <w:rsid w:val="00FF3F1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916"/>
    <w:pPr>
      <w:widowControl w:val="0"/>
      <w:spacing w:before="120"/>
      <w:jc w:val="both"/>
    </w:pPr>
    <w:rPr>
      <w:rFonts w:asciiTheme="minorHAnsi" w:hAnsiTheme="minorHAnsi"/>
      <w:szCs w:val="24"/>
      <w:lang w:val="en-GB"/>
    </w:rPr>
  </w:style>
  <w:style w:type="paragraph" w:styleId="Titre1">
    <w:name w:val="heading 1"/>
    <w:basedOn w:val="Normal"/>
    <w:next w:val="Normal"/>
    <w:qFormat/>
    <w:rsid w:val="009D500F"/>
    <w:pPr>
      <w:keepNext/>
      <w:numPr>
        <w:numId w:val="1"/>
      </w:numPr>
      <w:spacing w:before="200"/>
      <w:outlineLvl w:val="0"/>
    </w:pPr>
    <w:rPr>
      <w:rFonts w:cstheme="minorHAnsi"/>
      <w:b/>
      <w:bCs/>
      <w:caps/>
      <w:color w:val="00708E"/>
      <w:sz w:val="24"/>
    </w:rPr>
  </w:style>
  <w:style w:type="paragraph" w:styleId="Titre2">
    <w:name w:val="heading 2"/>
    <w:basedOn w:val="Normal"/>
    <w:next w:val="Normal"/>
    <w:qFormat/>
    <w:rsid w:val="009D500F"/>
    <w:pPr>
      <w:keepNext/>
      <w:numPr>
        <w:ilvl w:val="1"/>
        <w:numId w:val="1"/>
      </w:numPr>
      <w:outlineLvl w:val="1"/>
    </w:pPr>
    <w:rPr>
      <w:rFonts w:cstheme="minorHAnsi"/>
      <w:b/>
      <w:bCs/>
      <w:color w:val="00B6CF"/>
      <w:sz w:val="24"/>
      <w:szCs w:val="28"/>
    </w:rPr>
  </w:style>
  <w:style w:type="paragraph" w:styleId="Titre3">
    <w:name w:val="heading 3"/>
    <w:basedOn w:val="Normal"/>
    <w:next w:val="Normal"/>
    <w:qFormat/>
    <w:rsid w:val="009D500F"/>
    <w:pPr>
      <w:keepNext/>
      <w:numPr>
        <w:ilvl w:val="2"/>
        <w:numId w:val="1"/>
      </w:numPr>
      <w:outlineLvl w:val="2"/>
    </w:pPr>
    <w:rPr>
      <w:rFonts w:cstheme="minorHAnsi"/>
      <w:b/>
      <w:bCs/>
      <w:i/>
      <w:color w:val="CF007F"/>
      <w:szCs w:val="26"/>
    </w:rPr>
  </w:style>
  <w:style w:type="paragraph" w:styleId="Titre4">
    <w:name w:val="heading 4"/>
    <w:basedOn w:val="Normal"/>
    <w:next w:val="Normal"/>
    <w:pPr>
      <w:keepNext/>
      <w:numPr>
        <w:ilvl w:val="3"/>
        <w:numId w:val="1"/>
      </w:numPr>
      <w:spacing w:before="240" w:after="60"/>
      <w:outlineLvl w:val="3"/>
    </w:pPr>
    <w:rPr>
      <w:rFonts w:ascii="Times New Roman" w:hAnsi="Times New Roman"/>
      <w:b/>
      <w:bCs/>
      <w:sz w:val="28"/>
      <w:szCs w:val="28"/>
    </w:rPr>
  </w:style>
  <w:style w:type="paragraph" w:styleId="Titre5">
    <w:name w:val="heading 5"/>
    <w:basedOn w:val="Normal"/>
    <w:next w:val="Normal"/>
    <w:pPr>
      <w:numPr>
        <w:ilvl w:val="4"/>
        <w:numId w:val="1"/>
      </w:numPr>
      <w:spacing w:before="240" w:after="60"/>
      <w:outlineLvl w:val="4"/>
    </w:pPr>
    <w:rPr>
      <w:b/>
      <w:bCs/>
      <w:i/>
      <w:iCs/>
      <w:sz w:val="26"/>
      <w:szCs w:val="26"/>
    </w:rPr>
  </w:style>
  <w:style w:type="paragraph" w:styleId="Titre6">
    <w:name w:val="heading 6"/>
    <w:basedOn w:val="Normal"/>
    <w:next w:val="Normal"/>
    <w:pPr>
      <w:numPr>
        <w:ilvl w:val="5"/>
        <w:numId w:val="1"/>
      </w:numPr>
      <w:spacing w:before="240" w:after="60"/>
      <w:outlineLvl w:val="5"/>
    </w:pPr>
    <w:rPr>
      <w:rFonts w:ascii="Times New Roman" w:hAnsi="Times New Roman"/>
      <w:b/>
      <w:bCs/>
      <w:sz w:val="22"/>
      <w:szCs w:val="22"/>
    </w:rPr>
  </w:style>
  <w:style w:type="paragraph" w:styleId="Titre7">
    <w:name w:val="heading 7"/>
    <w:basedOn w:val="Normal"/>
    <w:next w:val="Normal"/>
    <w:pPr>
      <w:numPr>
        <w:ilvl w:val="6"/>
        <w:numId w:val="1"/>
      </w:numPr>
      <w:spacing w:before="240" w:after="60"/>
      <w:outlineLvl w:val="6"/>
    </w:pPr>
    <w:rPr>
      <w:rFonts w:ascii="Times New Roman" w:hAnsi="Times New Roman"/>
      <w:sz w:val="24"/>
    </w:rPr>
  </w:style>
  <w:style w:type="paragraph" w:styleId="Titre8">
    <w:name w:val="heading 8"/>
    <w:basedOn w:val="Normal"/>
    <w:next w:val="Normal"/>
    <w:pPr>
      <w:numPr>
        <w:ilvl w:val="7"/>
        <w:numId w:val="1"/>
      </w:numPr>
      <w:spacing w:before="240" w:after="60"/>
      <w:outlineLvl w:val="7"/>
    </w:pPr>
    <w:rPr>
      <w:rFonts w:ascii="Times New Roman" w:hAnsi="Times New Roman"/>
      <w:i/>
      <w:iCs/>
      <w:sz w:val="24"/>
    </w:rPr>
  </w:style>
  <w:style w:type="paragraph" w:styleId="Titre9">
    <w:name w:val="heading 9"/>
    <w:basedOn w:val="Normal"/>
    <w:next w:val="Normal"/>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Normal"/>
    <w:qFormat/>
    <w:rsid w:val="009D500F"/>
    <w:pPr>
      <w:ind w:left="1418" w:right="567"/>
      <w:jc w:val="left"/>
    </w:pPr>
    <w:rPr>
      <w:rFonts w:cstheme="minorHAnsi"/>
      <w:b/>
      <w:bCs/>
      <w:color w:val="00708E"/>
      <w:sz w:val="28"/>
    </w:rPr>
  </w:style>
  <w:style w:type="paragraph" w:customStyle="1" w:styleId="1Translation">
    <w:name w:val="1Translation"/>
    <w:basedOn w:val="Normal"/>
    <w:qFormat/>
    <w:rsid w:val="009D500F"/>
    <w:pPr>
      <w:ind w:left="1418" w:right="567"/>
      <w:jc w:val="left"/>
    </w:pPr>
    <w:rPr>
      <w:rFonts w:cstheme="minorHAnsi"/>
      <w:color w:val="00B6CF"/>
      <w:sz w:val="28"/>
    </w:rPr>
  </w:style>
  <w:style w:type="paragraph" w:customStyle="1" w:styleId="Legendes">
    <w:name w:val="Legendes"/>
    <w:basedOn w:val="Normal"/>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Accentuation">
    <w:name w:val="Emphasis"/>
    <w:uiPriority w:val="20"/>
    <w:rsid w:val="00DE20F1"/>
    <w:rPr>
      <w:i/>
      <w:iCs/>
    </w:rPr>
  </w:style>
  <w:style w:type="paragraph" w:customStyle="1" w:styleId="Normaltiret">
    <w:name w:val="Normaltiret"/>
    <w:basedOn w:val="Normal"/>
    <w:qFormat/>
    <w:rsid w:val="009D500F"/>
    <w:pPr>
      <w:numPr>
        <w:numId w:val="4"/>
      </w:numPr>
    </w:pPr>
    <w:rPr>
      <w:rFonts w:cstheme="minorHAnsi"/>
    </w:rPr>
  </w:style>
  <w:style w:type="paragraph" w:customStyle="1" w:styleId="Biblio">
    <w:name w:val="Biblio"/>
    <w:basedOn w:val="Normal"/>
    <w:pPr>
      <w:spacing w:before="0"/>
      <w:ind w:left="284" w:hanging="284"/>
    </w:pPr>
    <w:rPr>
      <w:sz w:val="15"/>
    </w:rPr>
  </w:style>
  <w:style w:type="paragraph" w:styleId="Pieddepage">
    <w:name w:val="footer"/>
    <w:basedOn w:val="Normal"/>
    <w:semiHidden/>
    <w:pPr>
      <w:tabs>
        <w:tab w:val="center" w:pos="4536"/>
        <w:tab w:val="right" w:pos="9072"/>
      </w:tabs>
    </w:pPr>
  </w:style>
  <w:style w:type="paragraph" w:styleId="Titre">
    <w:name w:val="Title"/>
    <w:basedOn w:val="0TitleTitre"/>
    <w:next w:val="Normal"/>
    <w:link w:val="TitreCar"/>
    <w:uiPriority w:val="10"/>
    <w:qFormat/>
    <w:rsid w:val="008839C5"/>
    <w:pPr>
      <w:ind w:left="0"/>
    </w:pPr>
    <w:rPr>
      <w:sz w:val="24"/>
    </w:rPr>
  </w:style>
  <w:style w:type="paragraph" w:customStyle="1" w:styleId="titreanx">
    <w:name w:val="titreanx"/>
    <w:basedOn w:val="Titre1"/>
    <w:rsid w:val="00406F9D"/>
    <w:pPr>
      <w:numPr>
        <w:numId w:val="0"/>
      </w:numPr>
    </w:pPr>
    <w:rPr>
      <w:rFonts w:ascii="Arial" w:hAnsi="Arial"/>
    </w:rPr>
  </w:style>
  <w:style w:type="character" w:customStyle="1" w:styleId="TitreCar">
    <w:name w:val="Titre Car"/>
    <w:link w:val="Titre"/>
    <w:uiPriority w:val="10"/>
    <w:rsid w:val="008839C5"/>
    <w:rPr>
      <w:rFonts w:ascii="Arial" w:hAnsi="Arial" w:cs="Arial"/>
      <w:b/>
      <w:bCs/>
      <w:sz w:val="24"/>
      <w:szCs w:val="24"/>
    </w:rPr>
  </w:style>
  <w:style w:type="paragraph" w:styleId="Sous-titre">
    <w:name w:val="Subtitle"/>
    <w:basedOn w:val="1Translation"/>
    <w:next w:val="Normal"/>
    <w:link w:val="Sous-titreCar"/>
    <w:uiPriority w:val="11"/>
    <w:rsid w:val="0019193B"/>
    <w:pPr>
      <w:spacing w:after="120"/>
      <w:ind w:left="2835"/>
    </w:pPr>
    <w:rPr>
      <w:sz w:val="24"/>
    </w:rPr>
  </w:style>
  <w:style w:type="character" w:customStyle="1" w:styleId="Sous-titreCar">
    <w:name w:val="Sous-titre Car"/>
    <w:link w:val="Sous-titre"/>
    <w:uiPriority w:val="11"/>
    <w:rsid w:val="0019193B"/>
    <w:rPr>
      <w:rFonts w:ascii="Arial" w:hAnsi="Arial"/>
      <w:sz w:val="24"/>
      <w:szCs w:val="24"/>
      <w:lang w:val="en-GB"/>
    </w:rPr>
  </w:style>
  <w:style w:type="paragraph" w:customStyle="1" w:styleId="en-tte0">
    <w:name w:val="en-tête"/>
    <w:basedOn w:val="Normal"/>
    <w:link w:val="en-tteCar"/>
    <w:qFormat/>
    <w:rsid w:val="00406F9D"/>
    <w:pPr>
      <w:pBdr>
        <w:bottom w:val="single" w:sz="2" w:space="1" w:color="auto"/>
      </w:pBdr>
      <w:ind w:left="284" w:hanging="284"/>
      <w:jc w:val="right"/>
    </w:pPr>
    <w:rPr>
      <w:sz w:val="16"/>
    </w:rPr>
  </w:style>
  <w:style w:type="character" w:styleId="Accentuationlgre">
    <w:name w:val="Subtle Emphasis"/>
    <w:uiPriority w:val="19"/>
    <w:rsid w:val="00DE20F1"/>
    <w:rPr>
      <w:rFonts w:ascii="Calibri" w:hAnsi="Calibri"/>
      <w:color w:val="548DD4"/>
    </w:rPr>
  </w:style>
  <w:style w:type="character" w:styleId="Rfrenceintense">
    <w:name w:val="Intense Reference"/>
    <w:uiPriority w:val="32"/>
    <w:qFormat/>
    <w:rsid w:val="00735EBE"/>
    <w:rPr>
      <w:sz w:val="18"/>
      <w:lang w:val="en-GB"/>
    </w:rPr>
  </w:style>
  <w:style w:type="paragraph" w:customStyle="1" w:styleId="4organisme">
    <w:name w:val="4organisme"/>
    <w:basedOn w:val="Normal"/>
    <w:link w:val="4organismeCar"/>
    <w:qFormat/>
    <w:rsid w:val="00397B39"/>
    <w:pPr>
      <w:spacing w:before="0"/>
      <w:ind w:left="1418" w:right="567"/>
      <w:jc w:val="left"/>
    </w:pPr>
  </w:style>
  <w:style w:type="character" w:customStyle="1" w:styleId="en-tteCar">
    <w:name w:val="en-tête Car"/>
    <w:link w:val="en-tte0"/>
    <w:rsid w:val="00406F9D"/>
    <w:rPr>
      <w:rFonts w:ascii="Arial" w:hAnsi="Arial"/>
      <w:sz w:val="16"/>
      <w:szCs w:val="24"/>
    </w:rPr>
  </w:style>
  <w:style w:type="character" w:styleId="Marquedecommentaire">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Commentaire">
    <w:name w:val="annotation text"/>
    <w:basedOn w:val="Normal"/>
    <w:link w:val="CommentaireCar"/>
    <w:uiPriority w:val="99"/>
    <w:unhideWhenUsed/>
    <w:rsid w:val="007B7EBB"/>
    <w:rPr>
      <w:szCs w:val="20"/>
    </w:rPr>
  </w:style>
  <w:style w:type="character" w:customStyle="1" w:styleId="CommentaireCar">
    <w:name w:val="Commentaire Car"/>
    <w:link w:val="Commentaire"/>
    <w:uiPriority w:val="99"/>
    <w:rsid w:val="007B7EBB"/>
    <w:rPr>
      <w:rFonts w:ascii="Arial" w:hAnsi="Arial"/>
    </w:rPr>
  </w:style>
  <w:style w:type="paragraph" w:styleId="Objetducommentaire">
    <w:name w:val="annotation subject"/>
    <w:basedOn w:val="Commentaire"/>
    <w:next w:val="Commentaire"/>
    <w:link w:val="ObjetducommentaireCar"/>
    <w:uiPriority w:val="99"/>
    <w:semiHidden/>
    <w:unhideWhenUsed/>
    <w:rsid w:val="007B7EBB"/>
    <w:rPr>
      <w:b/>
      <w:bCs/>
    </w:rPr>
  </w:style>
  <w:style w:type="character" w:customStyle="1" w:styleId="ObjetducommentaireCar">
    <w:name w:val="Objet du commentaire Car"/>
    <w:link w:val="Objetducommentaire"/>
    <w:uiPriority w:val="99"/>
    <w:semiHidden/>
    <w:rsid w:val="007B7EBB"/>
    <w:rPr>
      <w:rFonts w:ascii="Arial" w:hAnsi="Arial"/>
      <w:b/>
      <w:bCs/>
    </w:rPr>
  </w:style>
  <w:style w:type="paragraph" w:styleId="Textedebulles">
    <w:name w:val="Balloon Text"/>
    <w:basedOn w:val="Normal"/>
    <w:link w:val="TextedebullesCar"/>
    <w:uiPriority w:val="99"/>
    <w:semiHidden/>
    <w:unhideWhenUsed/>
    <w:rsid w:val="007B7EBB"/>
    <w:pPr>
      <w:spacing w:before="0"/>
    </w:pPr>
    <w:rPr>
      <w:rFonts w:ascii="Tahoma" w:hAnsi="Tahoma" w:cs="Tahoma"/>
      <w:sz w:val="16"/>
      <w:szCs w:val="16"/>
    </w:rPr>
  </w:style>
  <w:style w:type="character" w:customStyle="1" w:styleId="TextedebullesCar">
    <w:name w:val="Texte de bulles Car"/>
    <w:link w:val="Textedebulles"/>
    <w:uiPriority w:val="99"/>
    <w:semiHidden/>
    <w:rsid w:val="007B7EBB"/>
    <w:rPr>
      <w:rFonts w:ascii="Tahoma" w:hAnsi="Tahoma" w:cs="Tahoma"/>
      <w:sz w:val="16"/>
      <w:szCs w:val="16"/>
    </w:rPr>
  </w:style>
  <w:style w:type="table" w:styleId="Grilledutableau">
    <w:name w:val="Table Grid"/>
    <w:basedOn w:val="TableauNormal"/>
    <w:uiPriority w:val="39"/>
    <w:qFormat/>
    <w:rsid w:val="00C772A9"/>
    <w:pPr>
      <w:spacing w:after="120" w:line="360" w:lineRule="exact"/>
      <w:jc w:val="both"/>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gende">
    <w:name w:val="caption"/>
    <w:basedOn w:val="Normal"/>
    <w:next w:val="Normal"/>
    <w:uiPriority w:val="35"/>
    <w:unhideWhenUsed/>
    <w:qFormat/>
    <w:rsid w:val="00C772A9"/>
    <w:pPr>
      <w:spacing w:before="0" w:after="200"/>
    </w:pPr>
    <w:rPr>
      <w:i/>
      <w:iCs/>
      <w:color w:val="44546A" w:themeColor="text2"/>
      <w:sz w:val="18"/>
      <w:szCs w:val="18"/>
    </w:rPr>
  </w:style>
  <w:style w:type="paragraph" w:styleId="Rvision">
    <w:name w:val="Revision"/>
    <w:hidden/>
    <w:uiPriority w:val="99"/>
    <w:semiHidden/>
    <w:rsid w:val="007146BE"/>
    <w:rPr>
      <w:rFonts w:asciiTheme="minorHAnsi" w:hAnsiTheme="minorHAnsi"/>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94B1A8-30EA-47C3-9BE1-854FC3C60657}">
  <ds:schemaRefs>
    <ds:schemaRef ds:uri="http://schemas.openxmlformats.org/officeDocument/2006/bibliography"/>
  </ds:schemaRefs>
</ds:datastoreItem>
</file>

<file path=customXml/itemProps2.xml><?xml version="1.0" encoding="utf-8"?>
<ds:datastoreItem xmlns:ds="http://schemas.openxmlformats.org/officeDocument/2006/customXml" ds:itemID="{33D41D9F-5A97-48C8-B68D-65292980ED95}"/>
</file>

<file path=customXml/itemProps3.xml><?xml version="1.0" encoding="utf-8"?>
<ds:datastoreItem xmlns:ds="http://schemas.openxmlformats.org/officeDocument/2006/customXml" ds:itemID="{8D85B62E-EFA3-45AE-B0D4-74AB130EFFB0}"/>
</file>

<file path=customXml/itemProps4.xml><?xml version="1.0" encoding="utf-8"?>
<ds:datastoreItem xmlns:ds="http://schemas.openxmlformats.org/officeDocument/2006/customXml" ds:itemID="{4755D8D5-16BE-4598-BC20-89250AD12236}"/>
</file>

<file path=docProps/app.xml><?xml version="1.0" encoding="utf-8"?>
<Properties xmlns="http://schemas.openxmlformats.org/officeDocument/2006/extended-properties" xmlns:vt="http://schemas.openxmlformats.org/officeDocument/2006/docPropsVTypes">
  <Template>Normal.dotm</Template>
  <TotalTime>3</TotalTime>
  <Pages>5</Pages>
  <Words>2424</Words>
  <Characters>13338</Characters>
  <Application>Microsoft Office Word</Application>
  <DocSecurity>0</DocSecurity>
  <Lines>111</Lines>
  <Paragraphs>31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Novatech 2026 abstract</vt:lpstr>
      <vt:lpstr>communication novatech</vt:lpstr>
    </vt:vector>
  </TitlesOfParts>
  <Company>GRAIE</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Alice TREUVEY - Graie</cp:lastModifiedBy>
  <cp:revision>6</cp:revision>
  <cp:lastPrinted>2003-09-03T12:25:00Z</cp:lastPrinted>
  <dcterms:created xsi:type="dcterms:W3CDTF">2025-12-05T09:32:00Z</dcterms:created>
  <dcterms:modified xsi:type="dcterms:W3CDTF">2025-12-05T10:49:00Z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5ccba96f-f8b1-47ab-973b-8081e8fa1752</vt:lpwstr>
  </property>
  <property fmtid="{D5CDD505-2E9C-101B-9397-08002B2CF9AE}" pid="3" name="ContentTypeId">
    <vt:lpwstr>0x010100EF60F44DFF40DC49B22F1290DAC27D35</vt:lpwstr>
  </property>
</Properties>
</file>