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2114DA" w14:textId="0BC94AD8" w:rsidR="00F93907" w:rsidRPr="004662BE" w:rsidRDefault="008A4C30" w:rsidP="00ED347E">
      <w:pPr>
        <w:pStyle w:val="0TitleTitre"/>
        <w:rPr>
          <w:lang w:val="en-GB"/>
        </w:rPr>
      </w:pPr>
      <w:r w:rsidRPr="004662BE">
        <w:rPr>
          <w:lang w:val="en-GB"/>
        </w:rPr>
        <w:t>Proactive</w:t>
      </w:r>
      <w:r w:rsidR="00ED347E" w:rsidRPr="004662BE">
        <w:rPr>
          <w:lang w:val="en-GB"/>
        </w:rPr>
        <w:t xml:space="preserve"> </w:t>
      </w:r>
      <w:r w:rsidR="008E640F" w:rsidRPr="004662BE">
        <w:rPr>
          <w:lang w:val="en-GB"/>
        </w:rPr>
        <w:t>s</w:t>
      </w:r>
      <w:r w:rsidR="00ED347E" w:rsidRPr="004662BE">
        <w:rPr>
          <w:lang w:val="en-GB"/>
        </w:rPr>
        <w:t xml:space="preserve">ewer </w:t>
      </w:r>
      <w:r w:rsidR="008E640F" w:rsidRPr="004662BE">
        <w:rPr>
          <w:lang w:val="en-GB"/>
        </w:rPr>
        <w:t>a</w:t>
      </w:r>
      <w:r w:rsidR="00ED347E" w:rsidRPr="004662BE">
        <w:rPr>
          <w:lang w:val="en-GB"/>
        </w:rPr>
        <w:t xml:space="preserve">sset </w:t>
      </w:r>
      <w:r w:rsidR="008E640F" w:rsidRPr="004662BE">
        <w:rPr>
          <w:lang w:val="en-GB"/>
        </w:rPr>
        <w:t>m</w:t>
      </w:r>
      <w:r w:rsidR="00ED347E" w:rsidRPr="004662BE">
        <w:rPr>
          <w:lang w:val="en-GB"/>
        </w:rPr>
        <w:t xml:space="preserve">anagement </w:t>
      </w:r>
      <w:r w:rsidR="008D6DF9" w:rsidRPr="004662BE">
        <w:rPr>
          <w:lang w:val="en-GB"/>
        </w:rPr>
        <w:t>in relation to</w:t>
      </w:r>
      <w:r w:rsidR="009357D4" w:rsidRPr="004662BE">
        <w:rPr>
          <w:lang w:val="en-GB"/>
        </w:rPr>
        <w:t xml:space="preserve"> groundwater infiltration using</w:t>
      </w:r>
      <w:r w:rsidR="00ED347E" w:rsidRPr="004662BE">
        <w:rPr>
          <w:lang w:val="en-GB"/>
        </w:rPr>
        <w:t xml:space="preserve"> </w:t>
      </w:r>
      <w:r w:rsidR="008E640F" w:rsidRPr="004662BE">
        <w:rPr>
          <w:lang w:val="en-GB"/>
        </w:rPr>
        <w:t>g</w:t>
      </w:r>
      <w:r w:rsidR="00ED347E" w:rsidRPr="004662BE">
        <w:rPr>
          <w:lang w:val="en-GB"/>
        </w:rPr>
        <w:t xml:space="preserve">eospatial </w:t>
      </w:r>
      <w:r w:rsidR="008E640F" w:rsidRPr="004662BE">
        <w:rPr>
          <w:lang w:val="en-GB"/>
        </w:rPr>
        <w:t>t</w:t>
      </w:r>
      <w:r w:rsidR="00ED347E" w:rsidRPr="004662BE">
        <w:rPr>
          <w:lang w:val="en-GB"/>
        </w:rPr>
        <w:t>echnology</w:t>
      </w:r>
    </w:p>
    <w:p w14:paraId="6B7564C5" w14:textId="2866A102" w:rsidR="00C31BFD" w:rsidRPr="00061D24" w:rsidRDefault="008D6DF9" w:rsidP="008D6DF9">
      <w:pPr>
        <w:pStyle w:val="1Translation"/>
        <w:rPr>
          <w:lang w:val="fr-FR"/>
        </w:rPr>
      </w:pPr>
      <w:r w:rsidRPr="008D6DF9">
        <w:rPr>
          <w:lang w:val="fr-FR"/>
        </w:rPr>
        <w:t>Gestion proactive des actifs d’assainissement en relation avec l’infiltration d’eaux souterraines grâce à la technologie géospatiale</w:t>
      </w:r>
    </w:p>
    <w:p w14:paraId="11A7CD7C" w14:textId="77777777" w:rsidR="00C31BFD" w:rsidRPr="00061D24" w:rsidRDefault="00C31BFD" w:rsidP="009D500F">
      <w:pPr>
        <w:pStyle w:val="3names"/>
        <w:rPr>
          <w:color w:val="auto"/>
          <w:sz w:val="20"/>
          <w:szCs w:val="20"/>
          <w:lang w:val="fr-FR"/>
        </w:rPr>
      </w:pPr>
    </w:p>
    <w:p w14:paraId="6D82C185" w14:textId="1C54A99B" w:rsidR="00C31BFD" w:rsidRPr="004662BE" w:rsidRDefault="00AF4F17" w:rsidP="009D500F">
      <w:pPr>
        <w:pStyle w:val="3names"/>
        <w:rPr>
          <w:color w:val="CF007E"/>
          <w:lang w:val="fr-FR"/>
        </w:rPr>
      </w:pPr>
      <w:r w:rsidRPr="004662BE">
        <w:rPr>
          <w:color w:val="CF007E"/>
          <w:lang w:val="fr-FR"/>
        </w:rPr>
        <w:t>Nejat Zeydalinejad</w:t>
      </w:r>
      <w:r w:rsidR="004D458E" w:rsidRPr="004662BE">
        <w:rPr>
          <w:color w:val="CF007E"/>
          <w:vertAlign w:val="superscript"/>
          <w:lang w:val="fr-FR"/>
        </w:rPr>
        <w:t>1</w:t>
      </w:r>
      <w:r w:rsidRPr="004662BE">
        <w:rPr>
          <w:color w:val="CF007E"/>
          <w:lang w:val="fr-FR"/>
        </w:rPr>
        <w:t>, Akbar A. Javadi</w:t>
      </w:r>
      <w:r w:rsidR="004D458E" w:rsidRPr="004662BE">
        <w:rPr>
          <w:color w:val="CF007E"/>
          <w:vertAlign w:val="superscript"/>
          <w:lang w:val="fr-FR"/>
        </w:rPr>
        <w:t>2</w:t>
      </w:r>
      <w:r w:rsidRPr="004662BE">
        <w:rPr>
          <w:color w:val="CF007E"/>
          <w:lang w:val="fr-FR"/>
        </w:rPr>
        <w:t>, Mark Jacob</w:t>
      </w:r>
      <w:r w:rsidR="004D458E" w:rsidRPr="004662BE">
        <w:rPr>
          <w:color w:val="CF007E"/>
          <w:vertAlign w:val="superscript"/>
          <w:lang w:val="fr-FR"/>
        </w:rPr>
        <w:t>3</w:t>
      </w:r>
      <w:r w:rsidRPr="004662BE">
        <w:rPr>
          <w:color w:val="CF007E"/>
          <w:lang w:val="fr-FR"/>
        </w:rPr>
        <w:t>, David Baldock</w:t>
      </w:r>
      <w:r w:rsidR="004D458E" w:rsidRPr="004662BE">
        <w:rPr>
          <w:color w:val="CF007E"/>
          <w:vertAlign w:val="superscript"/>
          <w:lang w:val="fr-FR"/>
        </w:rPr>
        <w:t>3</w:t>
      </w:r>
      <w:r w:rsidRPr="004662BE">
        <w:rPr>
          <w:color w:val="CF007E"/>
          <w:lang w:val="fr-FR"/>
        </w:rPr>
        <w:t>, James L. Webber</w:t>
      </w:r>
      <w:r w:rsidR="004D458E" w:rsidRPr="004662BE">
        <w:rPr>
          <w:color w:val="CF007E"/>
          <w:vertAlign w:val="superscript"/>
          <w:lang w:val="fr-FR"/>
        </w:rPr>
        <w:t>2</w:t>
      </w:r>
      <w:r w:rsidRPr="004662BE">
        <w:rPr>
          <w:color w:val="CF007E"/>
          <w:lang w:val="fr-FR"/>
        </w:rPr>
        <w:t xml:space="preserve">  </w:t>
      </w:r>
    </w:p>
    <w:p w14:paraId="4C47035A" w14:textId="77777777" w:rsidR="00DE20F1" w:rsidRPr="004662BE" w:rsidRDefault="00DE20F1" w:rsidP="00397B39">
      <w:pPr>
        <w:pStyle w:val="4organisme"/>
        <w:rPr>
          <w:rFonts w:cstheme="minorHAnsi"/>
        </w:rPr>
      </w:pPr>
    </w:p>
    <w:p w14:paraId="5B586D3C" w14:textId="0E9C3BB2" w:rsidR="00DE20F1" w:rsidRPr="004662BE" w:rsidRDefault="00AE747C" w:rsidP="00AE747C">
      <w:pPr>
        <w:pStyle w:val="4organisme"/>
        <w:rPr>
          <w:rFonts w:cstheme="minorHAnsi"/>
          <w:lang w:val="en-GB"/>
        </w:rPr>
      </w:pPr>
      <w:r w:rsidRPr="004662BE">
        <w:rPr>
          <w:rFonts w:cstheme="minorHAnsi"/>
          <w:vertAlign w:val="superscript"/>
          <w:lang w:val="en-GB"/>
        </w:rPr>
        <w:t xml:space="preserve">1 </w:t>
      </w:r>
      <w:r w:rsidRPr="004662BE">
        <w:rPr>
          <w:rFonts w:cstheme="minorHAnsi"/>
          <w:lang w:val="en-GB"/>
        </w:rPr>
        <w:t>Centre for Resilience in Environment, Water and Waste (CREWW), University of Exeter, North Park Road, Exeter EX4 4TA, UK (N.Zeydalinejad@exeter.ac.uk)</w:t>
      </w:r>
    </w:p>
    <w:p w14:paraId="2402C3D3" w14:textId="18ED3BC9" w:rsidR="00DF2ADF" w:rsidRPr="004662BE" w:rsidRDefault="00DF2ADF" w:rsidP="00DF2ADF">
      <w:pPr>
        <w:pStyle w:val="4organisme"/>
        <w:rPr>
          <w:rFonts w:cstheme="minorHAnsi"/>
          <w:lang w:val="en-GB"/>
        </w:rPr>
      </w:pPr>
      <w:r w:rsidRPr="004662BE">
        <w:rPr>
          <w:rFonts w:cstheme="minorHAnsi"/>
          <w:vertAlign w:val="superscript"/>
          <w:lang w:val="en-GB"/>
        </w:rPr>
        <w:t xml:space="preserve">2 </w:t>
      </w:r>
      <w:r w:rsidRPr="004662BE">
        <w:rPr>
          <w:rFonts w:cstheme="minorHAnsi"/>
          <w:lang w:val="en-GB"/>
        </w:rPr>
        <w:t xml:space="preserve">Centre for Water Systems, Department of Engineering, Faculty of Environment, Science and Economy, University of Exeter, North Park Road, Exeter EX4 4QF, UK (A.A.Javadi@exeter.ac.uk and </w:t>
      </w:r>
      <w:r w:rsidR="00DA75FF" w:rsidRPr="004662BE">
        <w:rPr>
          <w:rFonts w:cstheme="minorHAnsi"/>
          <w:lang w:val="en-GB"/>
        </w:rPr>
        <w:t>J.Webber2@exeter.ac.uk</w:t>
      </w:r>
      <w:r w:rsidRPr="004662BE">
        <w:rPr>
          <w:rFonts w:cstheme="minorHAnsi"/>
          <w:lang w:val="en-GB"/>
        </w:rPr>
        <w:t>)</w:t>
      </w:r>
    </w:p>
    <w:p w14:paraId="2920C3FD" w14:textId="02148A21" w:rsidR="00AE747C" w:rsidRPr="003227DD" w:rsidRDefault="00DF2ADF" w:rsidP="00470E8A">
      <w:pPr>
        <w:pStyle w:val="4organisme"/>
        <w:rPr>
          <w:rFonts w:cstheme="minorHAnsi"/>
          <w:lang w:val="en-GB"/>
        </w:rPr>
      </w:pPr>
      <w:r w:rsidRPr="003227DD">
        <w:rPr>
          <w:rFonts w:cstheme="minorHAnsi"/>
          <w:vertAlign w:val="superscript"/>
          <w:lang w:val="en-GB"/>
        </w:rPr>
        <w:t xml:space="preserve">3 </w:t>
      </w:r>
      <w:r w:rsidRPr="003227DD">
        <w:rPr>
          <w:rFonts w:cstheme="minorHAnsi"/>
          <w:lang w:val="en-GB"/>
        </w:rPr>
        <w:t>South West Water, Peninsula House, Rydon Lane, Exeter EX2 7HR, UK (</w:t>
      </w:r>
      <w:r w:rsidR="00DA75FF" w:rsidRPr="003227DD">
        <w:rPr>
          <w:rFonts w:cstheme="minorHAnsi"/>
          <w:lang w:val="en-GB"/>
        </w:rPr>
        <w:t xml:space="preserve">mjacob@southwestwater.co.uk and </w:t>
      </w:r>
      <w:r w:rsidR="009D0EB8" w:rsidRPr="003227DD">
        <w:rPr>
          <w:rFonts w:cstheme="minorHAnsi"/>
          <w:lang w:val="en-GB"/>
        </w:rPr>
        <w:t>dbaldock@southwestwater.co.uk</w:t>
      </w:r>
      <w:r w:rsidRPr="003227DD">
        <w:rPr>
          <w:rFonts w:cstheme="minorHAnsi"/>
          <w:lang w:val="en-GB"/>
        </w:rPr>
        <w:t>)</w:t>
      </w:r>
    </w:p>
    <w:p w14:paraId="6A6372F5" w14:textId="77777777" w:rsidR="00C31BFD" w:rsidRPr="00061D24" w:rsidRDefault="00C31BFD" w:rsidP="005667E5">
      <w:pPr>
        <w:rPr>
          <w:rFonts w:cstheme="minorHAnsi"/>
          <w:lang w:val="en-GB"/>
        </w:rPr>
      </w:pPr>
    </w:p>
    <w:p w14:paraId="043E0AE2" w14:textId="77777777" w:rsidR="00C31BFD" w:rsidRPr="003227DD" w:rsidRDefault="00C31BFD" w:rsidP="009D500F">
      <w:pPr>
        <w:pStyle w:val="Title"/>
      </w:pPr>
      <w:r w:rsidRPr="003227DD">
        <w:t>R</w:t>
      </w:r>
      <w:r w:rsidR="00023D54" w:rsidRPr="003227DD">
        <w:t>É</w:t>
      </w:r>
      <w:r w:rsidRPr="003227DD">
        <w:t>SUM</w:t>
      </w:r>
      <w:r w:rsidR="00023D54" w:rsidRPr="003227DD">
        <w:t>É</w:t>
      </w:r>
    </w:p>
    <w:p w14:paraId="5F6BEDBC" w14:textId="719B925A" w:rsidR="00D02C03" w:rsidRPr="003227DD" w:rsidRDefault="00D02C03" w:rsidP="00D02C03">
      <w:pPr>
        <w:rPr>
          <w:rFonts w:cstheme="minorHAnsi"/>
        </w:rPr>
      </w:pPr>
      <w:r w:rsidRPr="003227DD">
        <w:rPr>
          <w:rFonts w:cstheme="minorHAnsi"/>
        </w:rPr>
        <w:t xml:space="preserve">Les systèmes d’égouts constituent des éléments essentiels de l’infrastructure urbaine, influençant les résultats environnementaux, sociaux et économiques. Cependant, ces systèmes sont soumis à des pressions croissantes liées au changement climatique, au vieillissement des actifs, à l’expansion urbaine et à l’augmentation des apports d’eaux parasites. L’infiltration des eaux souterraines dans les réseaux d’égouts, l’un des facteurs de stress les plus importants, accroît les coûts d’exploitation, réduit la capacité hydraulique et contribue aux déversements d’eaux pluviales, entre autres défis. La modélisation de l’infiltration des eaux souterraines dans les réseaux d’égouts est non seulement longue et complexe, mais elle nécessite également des données hydrologiques et patrimoniales étendues, qui sont souvent indisponibles. Il existe donc un besoin évident de méthodes plus simples et plus économes en ressources pour hiérarchiser ces risques. Ici, une approche géospatiale est utilisée pour calculer des scores de risque d’infiltration des eaux souterraines sur une étude de cas sélectionnée, à une résolution spatiale de 1 m², en combinant plusieurs jeux de données </w:t>
      </w:r>
      <w:proofErr w:type="gramStart"/>
      <w:r w:rsidRPr="003227DD">
        <w:rPr>
          <w:rFonts w:cstheme="minorHAnsi"/>
        </w:rPr>
        <w:t>proxy disponibles</w:t>
      </w:r>
      <w:proofErr w:type="gramEnd"/>
      <w:r w:rsidRPr="003227DD">
        <w:rPr>
          <w:rFonts w:cstheme="minorHAnsi"/>
        </w:rPr>
        <w:t>. Les résultats aident les compagnies des eaux à prioriser l’inspection, la maintenance et la réhabilitation dans l’ensemble de leurs réseaux. La comparaison avec les données observées de déversements d’eaux pluviales démontre l’applicabilité pratique de l’approche, soutenant une gestion proactive des actifs, l’optimisation des opérations et le renforcement de la résilience à long terme face aux pressions du changement climatique et de l’urbanisation.</w:t>
      </w:r>
    </w:p>
    <w:p w14:paraId="10788E7E" w14:textId="77777777" w:rsidR="00901632" w:rsidRPr="003227DD" w:rsidRDefault="00901632" w:rsidP="00901632">
      <w:pPr>
        <w:rPr>
          <w:rFonts w:cstheme="minorHAnsi"/>
        </w:rPr>
      </w:pPr>
    </w:p>
    <w:p w14:paraId="02FC3078" w14:textId="77777777" w:rsidR="00C31BFD" w:rsidRPr="00061D24" w:rsidRDefault="00C31BFD" w:rsidP="009D500F">
      <w:pPr>
        <w:pStyle w:val="Title"/>
        <w:rPr>
          <w:color w:val="00B6CF"/>
          <w:lang w:val="en-GB"/>
        </w:rPr>
      </w:pPr>
      <w:r w:rsidRPr="00061D24">
        <w:rPr>
          <w:color w:val="00B6CF"/>
          <w:lang w:val="en-GB"/>
        </w:rPr>
        <w:t>ABSTRACT</w:t>
      </w:r>
    </w:p>
    <w:p w14:paraId="5BA09BB4" w14:textId="51F7DFE2" w:rsidR="00C31BFD" w:rsidRPr="004B290B" w:rsidRDefault="007351BF" w:rsidP="003800E5">
      <w:pPr>
        <w:rPr>
          <w:rFonts w:cstheme="minorHAnsi"/>
          <w:lang w:val="en-GB"/>
        </w:rPr>
      </w:pPr>
      <w:r w:rsidRPr="007351BF">
        <w:rPr>
          <w:rFonts w:cstheme="minorHAnsi"/>
          <w:lang w:val="en-GB"/>
        </w:rPr>
        <w:t xml:space="preserve">Sewer systems are critical components of urban infrastructure, influencing environmental, social, and economic outcomes. However, </w:t>
      </w:r>
      <w:r w:rsidR="00831C9F">
        <w:rPr>
          <w:rFonts w:cstheme="minorHAnsi"/>
          <w:lang w:val="en-GB"/>
        </w:rPr>
        <w:t>these systems</w:t>
      </w:r>
      <w:r w:rsidR="00831C9F" w:rsidRPr="007351BF">
        <w:rPr>
          <w:rFonts w:cstheme="minorHAnsi"/>
          <w:lang w:val="en-GB"/>
        </w:rPr>
        <w:t xml:space="preserve"> </w:t>
      </w:r>
      <w:r w:rsidRPr="007351BF">
        <w:rPr>
          <w:rFonts w:cstheme="minorHAnsi"/>
          <w:lang w:val="en-GB"/>
        </w:rPr>
        <w:t>face increasing pressures from climate change, ageing assets,</w:t>
      </w:r>
      <w:r w:rsidR="00A42BEE">
        <w:rPr>
          <w:rFonts w:cstheme="minorHAnsi"/>
          <w:lang w:val="en-GB"/>
        </w:rPr>
        <w:t xml:space="preserve"> urban expansion</w:t>
      </w:r>
      <w:r w:rsidRPr="007351BF">
        <w:rPr>
          <w:rFonts w:cstheme="minorHAnsi"/>
          <w:lang w:val="en-GB"/>
        </w:rPr>
        <w:t xml:space="preserve"> and rising inflow and infiltration. Groundwater infiltration into sewer networks, as one of the most significant existing stresses, exacerbates operational costs, reduces hydraulic capacity, and contributes to storm overflow events, among other challenges. Modelling groundwater infiltration in sewer networks is not only time-consuming and challenging but also requires extensive hydrological and asset data, which are often unavailable. There is therefore a clear need for more straightforward and resource-efficient approaches</w:t>
      </w:r>
      <w:r w:rsidR="00BD32E5">
        <w:rPr>
          <w:rFonts w:cstheme="minorHAnsi"/>
          <w:lang w:val="en-GB"/>
        </w:rPr>
        <w:t xml:space="preserve"> to triage these risks</w:t>
      </w:r>
      <w:r w:rsidRPr="007351BF">
        <w:rPr>
          <w:rFonts w:cstheme="minorHAnsi"/>
          <w:lang w:val="en-GB"/>
        </w:rPr>
        <w:t xml:space="preserve">. Here, a geospatial approach is employed to compute groundwater infiltration risk scores over a selected case study at </w:t>
      </w:r>
      <w:r w:rsidR="00AE0A85">
        <w:rPr>
          <w:rFonts w:cstheme="minorHAnsi"/>
          <w:lang w:val="en-GB"/>
        </w:rPr>
        <w:t xml:space="preserve">1 </w:t>
      </w:r>
      <w:r w:rsidR="00AE0A85" w:rsidRPr="00AE0A85">
        <w:rPr>
          <w:rFonts w:cstheme="minorHAnsi"/>
          <w:lang w:val="en-GB"/>
        </w:rPr>
        <w:t>m</w:t>
      </w:r>
      <w:r w:rsidR="00AE0A85" w:rsidRPr="00AE0A85">
        <w:rPr>
          <w:rFonts w:cstheme="minorHAnsi"/>
          <w:vertAlign w:val="superscript"/>
          <w:lang w:val="en-GB"/>
        </w:rPr>
        <w:t>2</w:t>
      </w:r>
      <w:r w:rsidRPr="007351BF">
        <w:rPr>
          <w:rFonts w:cstheme="minorHAnsi"/>
          <w:lang w:val="en-GB"/>
        </w:rPr>
        <w:t xml:space="preserve"> spatial resolution by combining multiple available proxy data</w:t>
      </w:r>
      <w:r w:rsidR="00CD41BF">
        <w:rPr>
          <w:rFonts w:cstheme="minorHAnsi"/>
          <w:lang w:val="en-GB"/>
        </w:rPr>
        <w:t xml:space="preserve"> </w:t>
      </w:r>
      <w:r w:rsidRPr="007351BF">
        <w:rPr>
          <w:rFonts w:cstheme="minorHAnsi"/>
          <w:lang w:val="en-GB"/>
        </w:rPr>
        <w:t xml:space="preserve">sets. Findings assist water companies in prioritising inspection, maintenance, and rehabilitation across their networks. </w:t>
      </w:r>
      <w:r w:rsidR="00F80DB1">
        <w:rPr>
          <w:rFonts w:cstheme="minorHAnsi"/>
          <w:lang w:val="en-GB"/>
        </w:rPr>
        <w:t>Comparison with</w:t>
      </w:r>
      <w:r w:rsidRPr="007351BF">
        <w:rPr>
          <w:rFonts w:cstheme="minorHAnsi"/>
          <w:lang w:val="en-GB"/>
        </w:rPr>
        <w:t xml:space="preserve"> observed storm overflow data demonstrates the practical applicability of the approach, supporting proactive asset management, optimising operations, and enhancing long-term resilience under climate change and urbanisation pressures.</w:t>
      </w:r>
    </w:p>
    <w:p w14:paraId="085BA4B4" w14:textId="77777777" w:rsidR="00C31BFD" w:rsidRPr="00061D24" w:rsidRDefault="006A683B" w:rsidP="009D500F">
      <w:pPr>
        <w:pStyle w:val="Title"/>
        <w:rPr>
          <w:color w:val="auto"/>
          <w:lang w:val="en-GB"/>
        </w:rPr>
      </w:pPr>
      <w:r w:rsidRPr="00061D24">
        <w:rPr>
          <w:color w:val="auto"/>
          <w:lang w:val="en-GB"/>
        </w:rPr>
        <w:lastRenderedPageBreak/>
        <w:t>KEYWORDS</w:t>
      </w:r>
    </w:p>
    <w:p w14:paraId="67EAF182" w14:textId="0B4E2904" w:rsidR="00DD3635" w:rsidRPr="003227DD" w:rsidRDefault="000F49ED" w:rsidP="003800E5">
      <w:pPr>
        <w:rPr>
          <w:rFonts w:cstheme="minorHAnsi"/>
          <w:lang w:val="en-GB"/>
        </w:rPr>
      </w:pPr>
      <w:r w:rsidRPr="003227DD">
        <w:rPr>
          <w:rFonts w:cstheme="minorHAnsi"/>
          <w:lang w:val="en-GB"/>
        </w:rPr>
        <w:t xml:space="preserve">Asset management, Sewer networks, </w:t>
      </w:r>
      <w:r w:rsidR="006A2F28" w:rsidRPr="003227DD">
        <w:rPr>
          <w:rFonts w:cstheme="minorHAnsi"/>
          <w:lang w:val="en-GB"/>
        </w:rPr>
        <w:t>Groundwater infiltration, Urban resilience, Water companies</w:t>
      </w:r>
    </w:p>
    <w:p w14:paraId="5FCCF510" w14:textId="77777777" w:rsidR="000567D3" w:rsidRDefault="000567D3" w:rsidP="003800E5">
      <w:pPr>
        <w:rPr>
          <w:lang w:val="en-GB"/>
        </w:rPr>
      </w:pPr>
    </w:p>
    <w:p w14:paraId="62D20F4C" w14:textId="41B292E8" w:rsidR="00A72DF5" w:rsidRDefault="00EE67B4" w:rsidP="00A72DF5">
      <w:pPr>
        <w:pStyle w:val="Heading1"/>
      </w:pPr>
      <w:r>
        <w:t>Introduction</w:t>
      </w:r>
    </w:p>
    <w:p w14:paraId="438157FE" w14:textId="23E9F9B8" w:rsidR="008D4FA9" w:rsidRPr="00A2232D" w:rsidRDefault="00D906BD" w:rsidP="00481443">
      <w:pPr>
        <w:rPr>
          <w:rFonts w:cstheme="minorHAnsi"/>
          <w:lang w:val="en-GB"/>
        </w:rPr>
      </w:pPr>
      <w:r w:rsidRPr="00A2232D">
        <w:rPr>
          <w:rFonts w:cstheme="minorHAnsi"/>
          <w:lang w:val="en-GB"/>
        </w:rPr>
        <w:t>The growing challenges of climate change, urbanisation, and shifts in the hydrological cycle pose escalating threats to groundwater and relevant subsurface infrastructure, including groundwater infiltration (GWI) in sewer networks</w:t>
      </w:r>
      <w:r w:rsidR="00926901">
        <w:rPr>
          <w:rFonts w:cstheme="minorHAnsi"/>
          <w:lang w:val="en-GB"/>
        </w:rPr>
        <w:t xml:space="preserve"> </w:t>
      </w:r>
      <w:r w:rsidR="00926901" w:rsidRPr="00A2232D">
        <w:rPr>
          <w:rFonts w:cstheme="minorHAnsi"/>
          <w:lang w:val="en-GB"/>
        </w:rPr>
        <w:t>(Zeydalinejad et al.</w:t>
      </w:r>
      <w:r w:rsidR="00926901">
        <w:rPr>
          <w:rFonts w:cstheme="minorHAnsi"/>
          <w:lang w:val="en-GB"/>
        </w:rPr>
        <w:t>,</w:t>
      </w:r>
      <w:r w:rsidR="00926901" w:rsidRPr="00A2232D">
        <w:rPr>
          <w:rFonts w:cstheme="minorHAnsi"/>
          <w:lang w:val="en-GB"/>
        </w:rPr>
        <w:t xml:space="preserve"> 2025a, b)</w:t>
      </w:r>
      <w:r w:rsidRPr="00A2232D">
        <w:rPr>
          <w:rFonts w:cstheme="minorHAnsi"/>
          <w:lang w:val="en-GB"/>
        </w:rPr>
        <w:t xml:space="preserve">. </w:t>
      </w:r>
      <w:r w:rsidR="00481443" w:rsidRPr="00A2232D">
        <w:rPr>
          <w:rFonts w:cstheme="minorHAnsi"/>
          <w:lang w:val="en-GB"/>
        </w:rPr>
        <w:t xml:space="preserve">GWI refers to the movement of groundwater into the pipes through cracks, faulty joints, and other imperfections (Pangle et al., 2022). </w:t>
      </w:r>
      <w:r w:rsidR="00773FE8" w:rsidRPr="00A2232D">
        <w:rPr>
          <w:rFonts w:cstheme="minorHAnsi"/>
          <w:lang w:val="en-GB"/>
        </w:rPr>
        <w:t>GWI to the sewer network reduces capacities of existing infrastructure, potentially leading to increased treatment costs and risks of environmental discharges</w:t>
      </w:r>
      <w:r w:rsidR="00404CB2" w:rsidRPr="00A2232D">
        <w:rPr>
          <w:rFonts w:cstheme="minorHAnsi"/>
          <w:lang w:val="en-GB"/>
        </w:rPr>
        <w:t xml:space="preserve"> (Zeydalinejad et al., 2024a, b)</w:t>
      </w:r>
      <w:r w:rsidR="00773FE8" w:rsidRPr="00A2232D">
        <w:rPr>
          <w:rFonts w:cstheme="minorHAnsi"/>
          <w:lang w:val="en-GB"/>
        </w:rPr>
        <w:t>.</w:t>
      </w:r>
      <w:r w:rsidR="008D4FA9" w:rsidRPr="00A2232D">
        <w:rPr>
          <w:rFonts w:cstheme="minorHAnsi"/>
          <w:lang w:val="en-GB"/>
        </w:rPr>
        <w:t xml:space="preserve"> It can lead to accelerated and prolonged activation of combined sewer overflows (CSOs) and the risk of drainage pipe collapse (Zhang et al., 2018). GWI can also significantly disrupt the hydrological cycle in urban and suburban areas (Pangle et al., 2022).</w:t>
      </w:r>
    </w:p>
    <w:p w14:paraId="2D43ED1F" w14:textId="37B684C7" w:rsidR="00F56635" w:rsidRDefault="005B7242" w:rsidP="00F56635">
      <w:pPr>
        <w:rPr>
          <w:rFonts w:cstheme="minorHAnsi"/>
          <w:lang w:val="en-GB"/>
        </w:rPr>
      </w:pPr>
      <w:r w:rsidRPr="006412E3">
        <w:rPr>
          <w:rFonts w:cstheme="minorHAnsi"/>
          <w:lang w:val="en-GB"/>
        </w:rPr>
        <w:t>Water companies are</w:t>
      </w:r>
      <w:r w:rsidR="00837932">
        <w:rPr>
          <w:rFonts w:cstheme="minorHAnsi"/>
          <w:lang w:val="en-GB"/>
        </w:rPr>
        <w:t xml:space="preserve"> </w:t>
      </w:r>
      <w:r w:rsidRPr="006412E3">
        <w:rPr>
          <w:rFonts w:cstheme="minorHAnsi"/>
          <w:lang w:val="en-GB"/>
        </w:rPr>
        <w:t>increasing</w:t>
      </w:r>
      <w:r w:rsidR="007C2822">
        <w:rPr>
          <w:rFonts w:cstheme="minorHAnsi"/>
          <w:lang w:val="en-GB"/>
        </w:rPr>
        <w:t>ly</w:t>
      </w:r>
      <w:r w:rsidRPr="006412E3">
        <w:rPr>
          <w:rFonts w:cstheme="minorHAnsi"/>
          <w:lang w:val="en-GB"/>
        </w:rPr>
        <w:t xml:space="preserve"> taking proactive measures to assess the maintenance needs of pipes where GWI may pose a risk. However, current prioritisation methodologies often rely on limited data sets or are driven by tactical operational requirements, such as reactive site investigations, which can be inefficient for large-scale network management. Therefore, exploring strategies to improve strategic planning is essential, such as leveraging geospatial technology to map GWI hotspots</w:t>
      </w:r>
      <w:r w:rsidR="00F56635">
        <w:rPr>
          <w:rFonts w:cstheme="minorHAnsi"/>
          <w:lang w:val="en-GB"/>
        </w:rPr>
        <w:t>.</w:t>
      </w:r>
    </w:p>
    <w:p w14:paraId="3D22DD7A" w14:textId="2FF1B5EE" w:rsidR="00F56635" w:rsidRPr="003227DD" w:rsidRDefault="00F56635" w:rsidP="00F56635">
      <w:pPr>
        <w:rPr>
          <w:rFonts w:cstheme="minorHAnsi"/>
          <w:lang w:val="en-GB"/>
        </w:rPr>
      </w:pPr>
      <w:r>
        <w:rPr>
          <w:rFonts w:cstheme="minorHAnsi"/>
          <w:lang w:val="en-GB"/>
        </w:rPr>
        <w:t>Indeed, t</w:t>
      </w:r>
      <w:r w:rsidRPr="00A2232D">
        <w:rPr>
          <w:rFonts w:cstheme="minorHAnsi"/>
          <w:lang w:val="en-GB"/>
        </w:rPr>
        <w:t>o mitigate the</w:t>
      </w:r>
      <w:r>
        <w:rPr>
          <w:rFonts w:cstheme="minorHAnsi"/>
          <w:lang w:val="en-GB"/>
        </w:rPr>
        <w:t xml:space="preserve"> </w:t>
      </w:r>
      <w:proofErr w:type="gramStart"/>
      <w:r>
        <w:rPr>
          <w:rFonts w:cstheme="minorHAnsi"/>
          <w:lang w:val="en-GB"/>
        </w:rPr>
        <w:t>aforementioned</w:t>
      </w:r>
      <w:r w:rsidRPr="00A2232D">
        <w:rPr>
          <w:rFonts w:cstheme="minorHAnsi"/>
          <w:lang w:val="en-GB"/>
        </w:rPr>
        <w:t xml:space="preserve"> environmental</w:t>
      </w:r>
      <w:proofErr w:type="gramEnd"/>
      <w:r w:rsidRPr="00A2232D">
        <w:rPr>
          <w:rFonts w:cstheme="minorHAnsi"/>
          <w:lang w:val="en-GB"/>
        </w:rPr>
        <w:t xml:space="preserve"> impacts, the development of new methods for catchment monitoring and evaluation </w:t>
      </w:r>
      <w:r w:rsidR="003227DD" w:rsidRPr="00A2232D">
        <w:rPr>
          <w:rFonts w:cstheme="minorHAnsi"/>
          <w:lang w:val="en-GB"/>
        </w:rPr>
        <w:t>ha</w:t>
      </w:r>
      <w:r w:rsidR="003227DD">
        <w:rPr>
          <w:rFonts w:cstheme="minorHAnsi"/>
          <w:lang w:val="en-GB"/>
        </w:rPr>
        <w:t>s</w:t>
      </w:r>
      <w:r w:rsidR="003227DD" w:rsidRPr="00A2232D">
        <w:rPr>
          <w:rFonts w:cstheme="minorHAnsi"/>
          <w:lang w:val="en-GB"/>
        </w:rPr>
        <w:t xml:space="preserve"> </w:t>
      </w:r>
      <w:r w:rsidRPr="00A2232D">
        <w:rPr>
          <w:rFonts w:cstheme="minorHAnsi"/>
          <w:lang w:val="en-GB"/>
        </w:rPr>
        <w:t>become critical (</w:t>
      </w:r>
      <w:proofErr w:type="spellStart"/>
      <w:r w:rsidRPr="00A2232D">
        <w:rPr>
          <w:rFonts w:cstheme="minorHAnsi"/>
          <w:lang w:val="en-GB"/>
        </w:rPr>
        <w:t>Tavosi</w:t>
      </w:r>
      <w:proofErr w:type="spellEnd"/>
      <w:r w:rsidRPr="00A2232D">
        <w:rPr>
          <w:rFonts w:cstheme="minorHAnsi"/>
          <w:lang w:val="en-GB"/>
        </w:rPr>
        <w:t xml:space="preserve"> et al., 2024). One of the most frequently employed tools in this perspective is prioritisation, which has become increasingly significant in effective natural resource management and the pursuit of sustainable development, under the pressure of constrained time and resources (Priya, 2023).</w:t>
      </w:r>
      <w:r w:rsidRPr="003227DD">
        <w:rPr>
          <w:rFonts w:cstheme="minorHAnsi"/>
          <w:lang w:val="en-GB"/>
        </w:rPr>
        <w:t xml:space="preserve"> </w:t>
      </w:r>
    </w:p>
    <w:p w14:paraId="53D4C952" w14:textId="7D975CFF" w:rsidR="005B7242" w:rsidRDefault="00F56635" w:rsidP="00F56635">
      <w:pPr>
        <w:rPr>
          <w:rFonts w:cstheme="minorHAnsi"/>
          <w:lang w:val="en-GB"/>
        </w:rPr>
      </w:pPr>
      <w:r w:rsidRPr="003227DD">
        <w:rPr>
          <w:rFonts w:cstheme="minorHAnsi"/>
          <w:lang w:val="en-GB"/>
        </w:rPr>
        <w:t xml:space="preserve">Assessing GWI in sewer networks is essential for protecting infrastructure and addressing operational challenges. </w:t>
      </w:r>
      <w:r w:rsidRPr="005047BB">
        <w:rPr>
          <w:rFonts w:cstheme="minorHAnsi"/>
          <w:lang w:val="en-GB"/>
        </w:rPr>
        <w:t>Yet, despite its importance, relatively few studies have investigated this issue. The primary aim of this study is to establish a comprehensive framework for evaluating GWI risk by generating probability scores (ranging from 0 to 1) and identifying the key influencing factors. Specifically, we estimate GWI probability scores within sewer systems using a fuzzy (F)–analytical hierarchy process (AHP)–geographic information system (GIS) framework to derive GWI prioritisation scores.</w:t>
      </w:r>
    </w:p>
    <w:p w14:paraId="296D0A39" w14:textId="77777777" w:rsidR="008D40B1" w:rsidRPr="005D6F11" w:rsidRDefault="008D40B1" w:rsidP="008D40B1">
      <w:pPr>
        <w:pStyle w:val="Heading1"/>
      </w:pPr>
      <w:r>
        <w:t>Materials and methods</w:t>
      </w:r>
    </w:p>
    <w:p w14:paraId="572DF83C" w14:textId="24DF8F16" w:rsidR="008D40B1" w:rsidRDefault="008D40B1" w:rsidP="008D40B1">
      <w:pPr>
        <w:pStyle w:val="Heading2"/>
      </w:pPr>
      <w:r>
        <w:t>Methods</w:t>
      </w:r>
    </w:p>
    <w:p w14:paraId="744D40F3" w14:textId="3369B678" w:rsidR="008D4FA9" w:rsidRPr="0095182C" w:rsidRDefault="008D4FA9" w:rsidP="003E1ACE">
      <w:pPr>
        <w:spacing w:line="276" w:lineRule="auto"/>
        <w:rPr>
          <w:rFonts w:cstheme="minorHAnsi"/>
          <w:lang w:val="en-GB"/>
        </w:rPr>
      </w:pPr>
      <w:r w:rsidRPr="0095182C">
        <w:rPr>
          <w:rFonts w:cstheme="minorHAnsi"/>
          <w:lang w:val="en-GB"/>
        </w:rPr>
        <w:t>The F-AHP within a GIS framework was employed, considering geology, geomorphology, hydrology, hydrogeology, climate, and topography. The model comprised 16 thematic layers: groundwater depth (GWD), elevation, slope, topographic wetness index (TWI), precipitation, rock, alluvium, soil type, land cover</w:t>
      </w:r>
      <w:r w:rsidR="000D1E1D">
        <w:rPr>
          <w:rFonts w:cstheme="minorHAnsi"/>
          <w:lang w:val="en-GB"/>
        </w:rPr>
        <w:t xml:space="preserve"> (LC)</w:t>
      </w:r>
      <w:r w:rsidRPr="0095182C">
        <w:rPr>
          <w:rFonts w:cstheme="minorHAnsi"/>
          <w:lang w:val="en-GB"/>
        </w:rPr>
        <w:t>, made ground, fault proximity, fault length, mass movement, river proximity, flood potential, and drainage order. Expert judgement, fuzzy analysis, and AHP were applied for layer classification, normalisation</w:t>
      </w:r>
      <w:r w:rsidR="00555176">
        <w:rPr>
          <w:rFonts w:cstheme="minorHAnsi"/>
          <w:lang w:val="en-GB"/>
        </w:rPr>
        <w:t xml:space="preserve"> (i.e. scaling values between 0 and 1)</w:t>
      </w:r>
      <w:r w:rsidRPr="0095182C">
        <w:rPr>
          <w:rFonts w:cstheme="minorHAnsi"/>
          <w:lang w:val="en-GB"/>
        </w:rPr>
        <w:t>, and weight assignment, respectively.</w:t>
      </w:r>
    </w:p>
    <w:p w14:paraId="52C1AC0D" w14:textId="5A661571" w:rsidR="008D4FA9" w:rsidRPr="0095182C" w:rsidRDefault="008D4FA9" w:rsidP="008D4FA9">
      <w:pPr>
        <w:spacing w:line="276" w:lineRule="auto"/>
        <w:rPr>
          <w:rFonts w:cstheme="minorHAnsi"/>
          <w:lang w:val="en-GB"/>
        </w:rPr>
      </w:pPr>
      <w:r w:rsidRPr="0095182C">
        <w:rPr>
          <w:rFonts w:cstheme="minorHAnsi"/>
          <w:lang w:val="en-GB"/>
        </w:rPr>
        <w:t>The proposed methodology was verified to ensure robustness and reliability. The Consistency Ratio (CR) was used to assess the AHP component within the GIS framework, with values below 0.10 indicating high consistency in pairwise comparisons. In addition, a sensitivity analysis was performed to evaluate the influence of individual thematic layers on final risk scores, ensuring the model’s reliability and identifying the most critical factors affecting GWI.</w:t>
      </w:r>
      <w:r w:rsidRPr="008D4FA9">
        <w:rPr>
          <w:rFonts w:cstheme="minorHAnsi"/>
          <w:lang w:val="en-GB"/>
        </w:rPr>
        <w:t xml:space="preserve"> </w:t>
      </w:r>
    </w:p>
    <w:p w14:paraId="1998F33C" w14:textId="61B28DF2" w:rsidR="008D40B1" w:rsidRPr="009D500F" w:rsidRDefault="008D40B1" w:rsidP="008D40B1">
      <w:pPr>
        <w:pStyle w:val="Heading2"/>
      </w:pPr>
      <w:proofErr w:type="spellStart"/>
      <w:r>
        <w:t>Study</w:t>
      </w:r>
      <w:proofErr w:type="spellEnd"/>
      <w:r>
        <w:t xml:space="preserve"> area</w:t>
      </w:r>
    </w:p>
    <w:p w14:paraId="50693527" w14:textId="3A308546" w:rsidR="008D4FA9" w:rsidRDefault="009428E0" w:rsidP="00AC214B">
      <w:pPr>
        <w:spacing w:line="276" w:lineRule="auto"/>
        <w:rPr>
          <w:rFonts w:cstheme="minorHAnsi"/>
          <w:lang w:val="en-GB"/>
        </w:rPr>
      </w:pPr>
      <w:r>
        <w:rPr>
          <w:rFonts w:cstheme="minorHAnsi"/>
          <w:lang w:val="en-GB"/>
        </w:rPr>
        <w:t xml:space="preserve">In this research, we </w:t>
      </w:r>
      <w:r w:rsidR="00823EE8">
        <w:rPr>
          <w:rFonts w:cstheme="minorHAnsi"/>
          <w:lang w:val="en-GB"/>
        </w:rPr>
        <w:t xml:space="preserve">investigated a </w:t>
      </w:r>
      <w:r w:rsidR="00C3690C">
        <w:rPr>
          <w:rFonts w:cstheme="minorHAnsi"/>
          <w:lang w:val="en-GB"/>
        </w:rPr>
        <w:t xml:space="preserve">semi-urbanised catchment in the </w:t>
      </w:r>
      <w:proofErr w:type="gramStart"/>
      <w:r w:rsidR="00C3690C">
        <w:rPr>
          <w:rFonts w:cstheme="minorHAnsi"/>
          <w:lang w:val="en-GB"/>
        </w:rPr>
        <w:t>South West</w:t>
      </w:r>
      <w:proofErr w:type="gramEnd"/>
      <w:r w:rsidR="00C3690C">
        <w:rPr>
          <w:rFonts w:cstheme="minorHAnsi"/>
          <w:lang w:val="en-GB"/>
        </w:rPr>
        <w:t xml:space="preserve"> of the United Kingdom. The catchment includes both urban and rural land uses spanning across</w:t>
      </w:r>
      <w:r w:rsidR="008D4FA9" w:rsidRPr="0020051D">
        <w:rPr>
          <w:rFonts w:cstheme="minorHAnsi"/>
          <w:lang w:val="en-GB"/>
        </w:rPr>
        <w:t xml:space="preserve"> approximately 138 km</w:t>
      </w:r>
      <w:r w:rsidR="008D4FA9" w:rsidRPr="0020051D">
        <w:rPr>
          <w:rFonts w:cstheme="minorHAnsi"/>
          <w:vertAlign w:val="superscript"/>
          <w:lang w:val="en-GB"/>
        </w:rPr>
        <w:t>2</w:t>
      </w:r>
      <w:r w:rsidR="008D4FA9" w:rsidRPr="0020051D">
        <w:rPr>
          <w:rFonts w:cstheme="minorHAnsi"/>
          <w:lang w:val="en-GB"/>
        </w:rPr>
        <w:t xml:space="preserve">. This </w:t>
      </w:r>
      <w:r w:rsidR="00C3690C">
        <w:rPr>
          <w:rFonts w:cstheme="minorHAnsi"/>
          <w:lang w:val="en-GB"/>
        </w:rPr>
        <w:t xml:space="preserve">is typical of </w:t>
      </w:r>
      <w:r w:rsidR="00AE0A85">
        <w:rPr>
          <w:rFonts w:cstheme="minorHAnsi"/>
          <w:lang w:val="en-GB"/>
        </w:rPr>
        <w:t xml:space="preserve">a medium sized sewer catchment in the </w:t>
      </w:r>
      <w:proofErr w:type="gramStart"/>
      <w:r w:rsidR="00AE0A85">
        <w:rPr>
          <w:rFonts w:cstheme="minorHAnsi"/>
          <w:lang w:val="en-GB"/>
        </w:rPr>
        <w:t>South West</w:t>
      </w:r>
      <w:proofErr w:type="gramEnd"/>
      <w:r w:rsidR="00AE0A85">
        <w:rPr>
          <w:rFonts w:cstheme="minorHAnsi"/>
          <w:lang w:val="en-GB"/>
        </w:rPr>
        <w:t xml:space="preserve"> of England. </w:t>
      </w:r>
      <w:r w:rsidR="008D4FA9" w:rsidRPr="0020051D">
        <w:rPr>
          <w:rFonts w:cstheme="minorHAnsi"/>
          <w:lang w:val="en-GB"/>
        </w:rPr>
        <w:t xml:space="preserve">The distribution of sewer networks and </w:t>
      </w:r>
      <w:proofErr w:type="spellStart"/>
      <w:r w:rsidR="008D4FA9" w:rsidRPr="0020051D">
        <w:rPr>
          <w:rFonts w:cstheme="minorHAnsi"/>
          <w:lang w:val="en-GB"/>
        </w:rPr>
        <w:t>sewersheds</w:t>
      </w:r>
      <w:proofErr w:type="spellEnd"/>
      <w:r w:rsidR="008D4FA9" w:rsidRPr="0020051D">
        <w:rPr>
          <w:rFonts w:cstheme="minorHAnsi"/>
          <w:lang w:val="en-GB"/>
        </w:rPr>
        <w:t xml:space="preserve"> is primarily concentrated in the southeastern, and northern parts of the study area (</w:t>
      </w:r>
      <w:hyperlink r:id="rId8" w:anchor="fig_body_display_smartcities-08-00145-f002" w:history="1">
        <w:r w:rsidR="008D4FA9" w:rsidRPr="0020051D">
          <w:rPr>
            <w:rFonts w:cstheme="minorHAnsi"/>
            <w:lang w:val="en-GB"/>
          </w:rPr>
          <w:t>Figure 1</w:t>
        </w:r>
      </w:hyperlink>
      <w:r w:rsidR="008D4FA9" w:rsidRPr="0020051D">
        <w:rPr>
          <w:rFonts w:cstheme="minorHAnsi"/>
          <w:lang w:val="en-GB"/>
        </w:rPr>
        <w:t>).</w:t>
      </w:r>
      <w:r w:rsidR="008D4FA9" w:rsidRPr="008D4FA9">
        <w:rPr>
          <w:rFonts w:cstheme="minorHAnsi"/>
          <w:lang w:val="en-GB"/>
        </w:rPr>
        <w:t xml:space="preserve"> </w:t>
      </w:r>
    </w:p>
    <w:p w14:paraId="1FF00522" w14:textId="36EF9BEC" w:rsidR="00AC214B" w:rsidRDefault="004B530D" w:rsidP="004844F6">
      <w:pPr>
        <w:spacing w:line="276" w:lineRule="auto"/>
        <w:jc w:val="center"/>
        <w:rPr>
          <w:rFonts w:cstheme="minorHAnsi"/>
          <w:lang w:val="en-GB"/>
        </w:rPr>
      </w:pPr>
      <w:r>
        <w:rPr>
          <w:rFonts w:cstheme="minorHAnsi"/>
          <w:noProof/>
          <w:lang w:val="en-GB"/>
        </w:rPr>
        <w:lastRenderedPageBreak/>
        <w:drawing>
          <wp:inline distT="0" distB="0" distL="0" distR="0" wp14:anchorId="213D7797" wp14:editId="4CCFE74F">
            <wp:extent cx="5760720" cy="4073525"/>
            <wp:effectExtent l="0" t="0" r="0" b="3175"/>
            <wp:docPr id="2127169533" name="Picture 1"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169533" name="Picture 1" descr="A map of a mountain range&#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p>
    <w:p w14:paraId="59516652" w14:textId="636F58F5" w:rsidR="00230DAC" w:rsidRDefault="00230DAC" w:rsidP="00C60BEE">
      <w:pPr>
        <w:pStyle w:val="Legendes"/>
        <w:rPr>
          <w:rFonts w:cstheme="minorHAnsi"/>
          <w:lang w:val="en-GB"/>
        </w:rPr>
      </w:pPr>
      <w:r>
        <w:rPr>
          <w:rFonts w:cstheme="minorHAnsi"/>
          <w:lang w:val="en-GB"/>
        </w:rPr>
        <w:t xml:space="preserve">Fig. 1 </w:t>
      </w:r>
      <w:r w:rsidR="00C60BEE" w:rsidRPr="003227DD">
        <w:rPr>
          <w:rFonts w:cstheme="minorHAnsi"/>
          <w:lang w:val="en-GB"/>
        </w:rPr>
        <w:t>Location of the study area</w:t>
      </w:r>
      <w:r w:rsidR="00557237" w:rsidRPr="003227DD">
        <w:rPr>
          <w:rFonts w:cstheme="minorHAnsi"/>
          <w:lang w:val="en-GB"/>
        </w:rPr>
        <w:t xml:space="preserve"> (a), key features</w:t>
      </w:r>
      <w:r w:rsidR="00C60BEE" w:rsidRPr="003227DD">
        <w:rPr>
          <w:rFonts w:cstheme="minorHAnsi"/>
          <w:lang w:val="en-GB"/>
        </w:rPr>
        <w:t xml:space="preserve"> (b), and GWI prioritisation scores (c)</w:t>
      </w:r>
    </w:p>
    <w:p w14:paraId="1C4EFD8B" w14:textId="732DD341" w:rsidR="003B66F0" w:rsidRPr="00695B43" w:rsidRDefault="003B66F0" w:rsidP="003B66F0">
      <w:pPr>
        <w:pStyle w:val="Heading1"/>
      </w:pPr>
      <w:r w:rsidRPr="00695B43">
        <w:t>Results</w:t>
      </w:r>
    </w:p>
    <w:p w14:paraId="2AEF1FB9" w14:textId="45105A1B" w:rsidR="000D1E1D" w:rsidRDefault="00904B7E" w:rsidP="006F1CA3">
      <w:pPr>
        <w:spacing w:line="276" w:lineRule="auto"/>
        <w:rPr>
          <w:rFonts w:cstheme="minorHAnsi"/>
          <w:lang w:val="en-GB"/>
        </w:rPr>
      </w:pPr>
      <w:r w:rsidRPr="003227DD">
        <w:rPr>
          <w:rFonts w:cstheme="minorHAnsi"/>
          <w:lang w:val="en-GB"/>
        </w:rPr>
        <w:t>P</w:t>
      </w:r>
      <w:r w:rsidR="00602A59" w:rsidRPr="003227DD">
        <w:rPr>
          <w:rFonts w:cstheme="minorHAnsi"/>
          <w:lang w:val="en-GB"/>
        </w:rPr>
        <w:t>airwise comparison</w:t>
      </w:r>
      <w:r w:rsidRPr="003227DD">
        <w:rPr>
          <w:rFonts w:cstheme="minorHAnsi"/>
          <w:lang w:val="en-GB"/>
        </w:rPr>
        <w:t>s</w:t>
      </w:r>
      <w:r w:rsidR="00602A59" w:rsidRPr="003227DD">
        <w:rPr>
          <w:rFonts w:cstheme="minorHAnsi"/>
          <w:lang w:val="en-GB"/>
        </w:rPr>
        <w:t xml:space="preserve"> for deriving layer weights</w:t>
      </w:r>
      <w:r w:rsidRPr="003227DD">
        <w:rPr>
          <w:rFonts w:cstheme="minorHAnsi"/>
          <w:lang w:val="en-GB"/>
        </w:rPr>
        <w:t xml:space="preserve"> were calculated to achieve a CR of 0.</w:t>
      </w:r>
      <w:r w:rsidR="00B919CC" w:rsidRPr="003227DD">
        <w:rPr>
          <w:rFonts w:cstheme="minorHAnsi"/>
          <w:lang w:val="en-GB"/>
        </w:rPr>
        <w:t>0</w:t>
      </w:r>
      <w:r w:rsidRPr="003227DD">
        <w:rPr>
          <w:rFonts w:cstheme="minorHAnsi"/>
          <w:lang w:val="en-GB"/>
        </w:rPr>
        <w:t>2, demonstrating a consistent and robust F-AHP</w:t>
      </w:r>
      <w:r w:rsidR="00602A59" w:rsidRPr="003227DD">
        <w:rPr>
          <w:rFonts w:cstheme="minorHAnsi"/>
          <w:lang w:val="en-GB"/>
        </w:rPr>
        <w:t xml:space="preserve"> </w:t>
      </w:r>
      <w:r w:rsidRPr="003227DD">
        <w:rPr>
          <w:rFonts w:cstheme="minorHAnsi"/>
          <w:lang w:val="en-GB"/>
        </w:rPr>
        <w:t>integration</w:t>
      </w:r>
      <w:r w:rsidR="000D1E1D" w:rsidRPr="003227DD">
        <w:rPr>
          <w:rFonts w:cstheme="minorHAnsi"/>
          <w:lang w:val="en-GB"/>
        </w:rPr>
        <w:t xml:space="preserve">. The resulting weights were : </w:t>
      </w:r>
      <w:r w:rsidR="000D1E1D" w:rsidRPr="0095182C">
        <w:rPr>
          <w:rFonts w:cstheme="minorHAnsi"/>
          <w:lang w:val="en-GB"/>
        </w:rPr>
        <w:t>GWD</w:t>
      </w:r>
      <w:r w:rsidR="000D1E1D">
        <w:rPr>
          <w:rFonts w:cstheme="minorHAnsi"/>
          <w:lang w:val="en-GB"/>
        </w:rPr>
        <w:t>=13.45</w:t>
      </w:r>
      <w:r w:rsidR="000D1E1D" w:rsidRPr="0095182C">
        <w:rPr>
          <w:rFonts w:cstheme="minorHAnsi"/>
          <w:lang w:val="en-GB"/>
        </w:rPr>
        <w:t>, river proximity</w:t>
      </w:r>
      <w:r w:rsidR="000D1E1D">
        <w:rPr>
          <w:rFonts w:cstheme="minorHAnsi"/>
          <w:lang w:val="en-GB"/>
        </w:rPr>
        <w:t>=10.8</w:t>
      </w:r>
      <w:r w:rsidR="000D1E1D" w:rsidRPr="0095182C">
        <w:rPr>
          <w:rFonts w:cstheme="minorHAnsi"/>
          <w:lang w:val="en-GB"/>
        </w:rPr>
        <w:t>,</w:t>
      </w:r>
      <w:r w:rsidR="000D1E1D" w:rsidRPr="000D1E1D">
        <w:rPr>
          <w:rFonts w:cstheme="minorHAnsi"/>
          <w:lang w:val="en-GB"/>
        </w:rPr>
        <w:t xml:space="preserve"> </w:t>
      </w:r>
      <w:r w:rsidR="000D1E1D" w:rsidRPr="0095182C">
        <w:rPr>
          <w:rFonts w:cstheme="minorHAnsi"/>
          <w:lang w:val="en-GB"/>
        </w:rPr>
        <w:t>rock</w:t>
      </w:r>
      <w:r w:rsidR="000D1E1D">
        <w:rPr>
          <w:rFonts w:cstheme="minorHAnsi"/>
          <w:lang w:val="en-GB"/>
        </w:rPr>
        <w:t>=8.75</w:t>
      </w:r>
      <w:r w:rsidR="000D1E1D" w:rsidRPr="0095182C">
        <w:rPr>
          <w:rFonts w:cstheme="minorHAnsi"/>
          <w:lang w:val="en-GB"/>
        </w:rPr>
        <w:t>,</w:t>
      </w:r>
      <w:r w:rsidR="000D1E1D" w:rsidRPr="000D1E1D">
        <w:rPr>
          <w:rFonts w:cstheme="minorHAnsi"/>
          <w:lang w:val="en-GB"/>
        </w:rPr>
        <w:t xml:space="preserve"> </w:t>
      </w:r>
      <w:r w:rsidR="000D1E1D" w:rsidRPr="0095182C">
        <w:rPr>
          <w:rFonts w:cstheme="minorHAnsi"/>
          <w:lang w:val="en-GB"/>
        </w:rPr>
        <w:t>alluvium</w:t>
      </w:r>
      <w:r w:rsidR="000D1E1D">
        <w:rPr>
          <w:rFonts w:cstheme="minorHAnsi"/>
          <w:lang w:val="en-GB"/>
        </w:rPr>
        <w:t xml:space="preserve">=8.30, </w:t>
      </w:r>
      <w:r w:rsidR="000D1E1D" w:rsidRPr="0095182C">
        <w:rPr>
          <w:rFonts w:cstheme="minorHAnsi"/>
          <w:lang w:val="en-GB"/>
        </w:rPr>
        <w:t>flood potential</w:t>
      </w:r>
      <w:r w:rsidR="000D1E1D">
        <w:rPr>
          <w:rFonts w:cstheme="minorHAnsi"/>
          <w:lang w:val="en-GB"/>
        </w:rPr>
        <w:t>=8</w:t>
      </w:r>
      <w:r w:rsidR="000D1E1D" w:rsidRPr="0095182C">
        <w:rPr>
          <w:rFonts w:cstheme="minorHAnsi"/>
          <w:lang w:val="en-GB"/>
        </w:rPr>
        <w:t>,</w:t>
      </w:r>
      <w:r w:rsidR="000D1E1D" w:rsidRPr="000D1E1D">
        <w:rPr>
          <w:rFonts w:cstheme="minorHAnsi"/>
          <w:lang w:val="en-GB"/>
        </w:rPr>
        <w:t xml:space="preserve"> </w:t>
      </w:r>
      <w:r w:rsidR="000D1E1D" w:rsidRPr="0095182C">
        <w:rPr>
          <w:rFonts w:cstheme="minorHAnsi"/>
          <w:lang w:val="en-GB"/>
        </w:rPr>
        <w:t>fault proximity</w:t>
      </w:r>
      <w:r w:rsidR="000D1E1D">
        <w:rPr>
          <w:rFonts w:cstheme="minorHAnsi"/>
          <w:lang w:val="en-GB"/>
        </w:rPr>
        <w:t>=6.8</w:t>
      </w:r>
      <w:r w:rsidR="000D1E1D" w:rsidRPr="0095182C">
        <w:rPr>
          <w:rFonts w:cstheme="minorHAnsi"/>
          <w:lang w:val="en-GB"/>
        </w:rPr>
        <w:t>, fault length</w:t>
      </w:r>
      <w:r w:rsidR="000D1E1D">
        <w:rPr>
          <w:rFonts w:cstheme="minorHAnsi"/>
          <w:lang w:val="en-GB"/>
        </w:rPr>
        <w:t>=6.8,</w:t>
      </w:r>
      <w:r w:rsidR="000D1E1D" w:rsidRPr="000D1E1D">
        <w:rPr>
          <w:rFonts w:cstheme="minorHAnsi"/>
          <w:lang w:val="en-GB"/>
        </w:rPr>
        <w:t xml:space="preserve"> </w:t>
      </w:r>
      <w:r w:rsidR="000D1E1D" w:rsidRPr="0095182C">
        <w:rPr>
          <w:rFonts w:cstheme="minorHAnsi"/>
          <w:lang w:val="en-GB"/>
        </w:rPr>
        <w:t>TWI</w:t>
      </w:r>
      <w:r w:rsidR="000D1E1D">
        <w:rPr>
          <w:rFonts w:cstheme="minorHAnsi"/>
          <w:lang w:val="en-GB"/>
        </w:rPr>
        <w:t xml:space="preserve">=6.4, </w:t>
      </w:r>
      <w:r w:rsidR="000D1E1D" w:rsidRPr="0095182C">
        <w:rPr>
          <w:rFonts w:cstheme="minorHAnsi"/>
          <w:lang w:val="en-GB"/>
        </w:rPr>
        <w:t>made ground</w:t>
      </w:r>
      <w:r w:rsidR="000D1E1D">
        <w:rPr>
          <w:rFonts w:cstheme="minorHAnsi"/>
          <w:lang w:val="en-GB"/>
        </w:rPr>
        <w:t>=5.05</w:t>
      </w:r>
      <w:r w:rsidR="000D1E1D" w:rsidRPr="0095182C">
        <w:rPr>
          <w:rFonts w:cstheme="minorHAnsi"/>
          <w:lang w:val="en-GB"/>
        </w:rPr>
        <w:t>,</w:t>
      </w:r>
      <w:r w:rsidR="000D1E1D" w:rsidRPr="000D1E1D">
        <w:rPr>
          <w:rFonts w:cstheme="minorHAnsi"/>
          <w:lang w:val="en-GB"/>
        </w:rPr>
        <w:t xml:space="preserve"> </w:t>
      </w:r>
      <w:r w:rsidR="000D1E1D" w:rsidRPr="0095182C">
        <w:rPr>
          <w:rFonts w:cstheme="minorHAnsi"/>
          <w:lang w:val="en-GB"/>
        </w:rPr>
        <w:t>soil type</w:t>
      </w:r>
      <w:r w:rsidR="000D1E1D">
        <w:rPr>
          <w:rFonts w:cstheme="minorHAnsi"/>
          <w:lang w:val="en-GB"/>
        </w:rPr>
        <w:t>=4.55</w:t>
      </w:r>
      <w:r w:rsidR="000D1E1D" w:rsidRPr="0095182C">
        <w:rPr>
          <w:rFonts w:cstheme="minorHAnsi"/>
          <w:lang w:val="en-GB"/>
        </w:rPr>
        <w:t>,</w:t>
      </w:r>
      <w:r w:rsidR="000D1E1D" w:rsidRPr="000D1E1D">
        <w:rPr>
          <w:rFonts w:cstheme="minorHAnsi"/>
          <w:lang w:val="en-GB"/>
        </w:rPr>
        <w:t xml:space="preserve"> </w:t>
      </w:r>
      <w:r w:rsidR="000D1E1D" w:rsidRPr="0095182C">
        <w:rPr>
          <w:rFonts w:cstheme="minorHAnsi"/>
          <w:lang w:val="en-GB"/>
        </w:rPr>
        <w:t>slope</w:t>
      </w:r>
      <w:r w:rsidR="000D1E1D">
        <w:rPr>
          <w:rFonts w:cstheme="minorHAnsi"/>
          <w:lang w:val="en-GB"/>
        </w:rPr>
        <w:t>=4.4, LC=4,</w:t>
      </w:r>
      <w:r w:rsidR="000D1E1D" w:rsidRPr="000D1E1D">
        <w:rPr>
          <w:rFonts w:cstheme="minorHAnsi"/>
          <w:lang w:val="en-GB"/>
        </w:rPr>
        <w:t xml:space="preserve"> </w:t>
      </w:r>
      <w:r w:rsidR="000D1E1D" w:rsidRPr="0095182C">
        <w:rPr>
          <w:rFonts w:cstheme="minorHAnsi"/>
          <w:lang w:val="en-GB"/>
        </w:rPr>
        <w:t>mass movement</w:t>
      </w:r>
      <w:r w:rsidR="000D1E1D">
        <w:rPr>
          <w:rFonts w:cstheme="minorHAnsi"/>
          <w:lang w:val="en-GB"/>
        </w:rPr>
        <w:t xml:space="preserve">=3.45, </w:t>
      </w:r>
      <w:r w:rsidR="000D1E1D" w:rsidRPr="0095182C">
        <w:rPr>
          <w:rFonts w:cstheme="minorHAnsi"/>
          <w:lang w:val="en-GB"/>
        </w:rPr>
        <w:t>drainage order</w:t>
      </w:r>
      <w:r w:rsidR="000D1E1D">
        <w:rPr>
          <w:rFonts w:cstheme="minorHAnsi"/>
          <w:lang w:val="en-GB"/>
        </w:rPr>
        <w:t>=3.2,</w:t>
      </w:r>
      <w:r w:rsidR="000D1E1D" w:rsidRPr="003227DD">
        <w:rPr>
          <w:rFonts w:cstheme="minorHAnsi"/>
          <w:lang w:val="en-GB"/>
        </w:rPr>
        <w:t xml:space="preserve"> </w:t>
      </w:r>
      <w:r w:rsidR="000D1E1D" w:rsidRPr="0095182C">
        <w:rPr>
          <w:rFonts w:cstheme="minorHAnsi"/>
          <w:lang w:val="en-GB"/>
        </w:rPr>
        <w:t>elevation</w:t>
      </w:r>
      <w:r w:rsidR="000D1E1D">
        <w:rPr>
          <w:rFonts w:cstheme="minorHAnsi"/>
          <w:lang w:val="en-GB"/>
        </w:rPr>
        <w:t xml:space="preserve">=3.05, and </w:t>
      </w:r>
      <w:r w:rsidR="000D1E1D" w:rsidRPr="0095182C">
        <w:rPr>
          <w:rFonts w:cstheme="minorHAnsi"/>
          <w:lang w:val="en-GB"/>
        </w:rPr>
        <w:t>precipitation</w:t>
      </w:r>
      <w:r w:rsidR="000D1E1D">
        <w:rPr>
          <w:rFonts w:cstheme="minorHAnsi"/>
          <w:lang w:val="en-GB"/>
        </w:rPr>
        <w:t>=3</w:t>
      </w:r>
      <w:r w:rsidR="006F1CA3">
        <w:rPr>
          <w:rFonts w:cstheme="minorHAnsi"/>
          <w:lang w:val="en-GB"/>
        </w:rPr>
        <w:t>.</w:t>
      </w:r>
      <w:r w:rsidR="006F1CA3" w:rsidRPr="003227DD">
        <w:rPr>
          <w:lang w:val="en-GB"/>
        </w:rPr>
        <w:t xml:space="preserve"> </w:t>
      </w:r>
      <w:r w:rsidRPr="003227DD">
        <w:rPr>
          <w:lang w:val="en-GB"/>
        </w:rPr>
        <w:t xml:space="preserve">This identified </w:t>
      </w:r>
      <w:r w:rsidR="00C9485B" w:rsidRPr="003227DD">
        <w:rPr>
          <w:lang w:val="en-GB"/>
        </w:rPr>
        <w:t>GWD, river proximity, rock type, alluvium presence and flood potential as the</w:t>
      </w:r>
      <w:r w:rsidR="006F1CA3" w:rsidRPr="003227DD">
        <w:rPr>
          <w:rFonts w:cstheme="minorHAnsi"/>
          <w:lang w:val="en-GB"/>
        </w:rPr>
        <w:t xml:space="preserve"> primary influencing factors</w:t>
      </w:r>
      <w:r w:rsidR="00C9485B" w:rsidRPr="003227DD">
        <w:rPr>
          <w:rFonts w:cstheme="minorHAnsi"/>
          <w:lang w:val="en-GB"/>
        </w:rPr>
        <w:t xml:space="preserve"> on </w:t>
      </w:r>
      <w:r w:rsidR="005456AD" w:rsidRPr="003227DD">
        <w:rPr>
          <w:rFonts w:cstheme="minorHAnsi"/>
          <w:lang w:val="en-GB"/>
        </w:rPr>
        <w:t xml:space="preserve">GWI </w:t>
      </w:r>
      <w:proofErr w:type="spellStart"/>
      <w:r w:rsidR="005456AD" w:rsidRPr="003227DD">
        <w:rPr>
          <w:rFonts w:cstheme="minorHAnsi"/>
          <w:lang w:val="en-GB"/>
        </w:rPr>
        <w:t>priortisation</w:t>
      </w:r>
      <w:proofErr w:type="spellEnd"/>
      <w:r w:rsidR="006F1CA3" w:rsidRPr="003227DD">
        <w:rPr>
          <w:rFonts w:cstheme="minorHAnsi"/>
          <w:lang w:val="en-GB"/>
        </w:rPr>
        <w:t>.</w:t>
      </w:r>
    </w:p>
    <w:p w14:paraId="3453F674" w14:textId="7010A407" w:rsidR="003800E5" w:rsidRDefault="00602A59" w:rsidP="00602A59">
      <w:pPr>
        <w:spacing w:line="276" w:lineRule="auto"/>
        <w:rPr>
          <w:rFonts w:cstheme="minorHAnsi"/>
          <w:lang w:val="en-GB"/>
        </w:rPr>
      </w:pPr>
      <w:r w:rsidRPr="00AC214B">
        <w:rPr>
          <w:rFonts w:cstheme="minorHAnsi"/>
          <w:lang w:val="en-GB"/>
        </w:rPr>
        <w:t xml:space="preserve">The </w:t>
      </w:r>
      <w:r w:rsidR="00AC214B" w:rsidRPr="00AC214B">
        <w:rPr>
          <w:rFonts w:cstheme="minorHAnsi"/>
          <w:lang w:val="en-GB"/>
        </w:rPr>
        <w:t>integration of all layers using the F-AHP–GIS framework produced GWI probability scores for each 1 m² cell, with values ranging from 0</w:t>
      </w:r>
      <w:r w:rsidR="00717ED3">
        <w:rPr>
          <w:rFonts w:cstheme="minorHAnsi"/>
          <w:lang w:val="en-GB"/>
        </w:rPr>
        <w:t>.13</w:t>
      </w:r>
      <w:r w:rsidR="00AC214B" w:rsidRPr="00AC214B">
        <w:rPr>
          <w:rFonts w:cstheme="minorHAnsi"/>
          <w:lang w:val="en-GB"/>
        </w:rPr>
        <w:t xml:space="preserve"> to </w:t>
      </w:r>
      <w:r w:rsidR="00717ED3">
        <w:rPr>
          <w:rFonts w:cstheme="minorHAnsi"/>
          <w:lang w:val="en-GB"/>
        </w:rPr>
        <w:t>0.65</w:t>
      </w:r>
      <w:r w:rsidR="00AC214B" w:rsidRPr="00AC214B">
        <w:rPr>
          <w:rFonts w:cstheme="minorHAnsi"/>
          <w:lang w:val="en-GB"/>
        </w:rPr>
        <w:t>.</w:t>
      </w:r>
      <w:r w:rsidR="005456AD">
        <w:rPr>
          <w:rFonts w:cstheme="minorHAnsi"/>
          <w:lang w:val="en-GB"/>
        </w:rPr>
        <w:t xml:space="preserve"> The highest </w:t>
      </w:r>
      <w:r w:rsidR="00AC214B" w:rsidRPr="00AC214B">
        <w:rPr>
          <w:rFonts w:cstheme="minorHAnsi"/>
          <w:lang w:val="en-GB"/>
        </w:rPr>
        <w:t>GWI</w:t>
      </w:r>
      <w:r w:rsidR="005456AD">
        <w:rPr>
          <w:rFonts w:cstheme="minorHAnsi"/>
          <w:lang w:val="en-GB"/>
        </w:rPr>
        <w:t xml:space="preserve"> prioritisation scores were identified </w:t>
      </w:r>
      <w:r w:rsidR="00D75A10">
        <w:rPr>
          <w:rFonts w:cstheme="minorHAnsi"/>
          <w:lang w:val="en-GB"/>
        </w:rPr>
        <w:t>in the</w:t>
      </w:r>
      <w:r w:rsidR="00AC214B" w:rsidRPr="00AC214B">
        <w:rPr>
          <w:rFonts w:cstheme="minorHAnsi"/>
          <w:lang w:val="en-GB"/>
        </w:rPr>
        <w:t xml:space="preserve"> northeast of the study area.</w:t>
      </w:r>
      <w:r w:rsidR="00D75A10">
        <w:rPr>
          <w:rFonts w:cstheme="minorHAnsi"/>
          <w:lang w:val="en-GB"/>
        </w:rPr>
        <w:t xml:space="preserve"> This was commensurate with proximity to low lying land approaching a</w:t>
      </w:r>
      <w:r w:rsidR="00073877">
        <w:rPr>
          <w:rFonts w:cstheme="minorHAnsi"/>
          <w:lang w:val="en-GB"/>
        </w:rPr>
        <w:t>n estuary.</w:t>
      </w:r>
    </w:p>
    <w:p w14:paraId="7095C1CC" w14:textId="33022A7A" w:rsidR="00415066" w:rsidRPr="00AC214B" w:rsidRDefault="00415066" w:rsidP="00415066">
      <w:pPr>
        <w:spacing w:line="276" w:lineRule="auto"/>
        <w:rPr>
          <w:rFonts w:cstheme="minorHAnsi"/>
          <w:lang w:val="en-GB"/>
        </w:rPr>
      </w:pPr>
      <w:r w:rsidRPr="003227DD">
        <w:rPr>
          <w:rFonts w:cstheme="minorHAnsi"/>
          <w:lang w:val="en-GB"/>
        </w:rPr>
        <w:t xml:space="preserve">It is noteworthy that </w:t>
      </w:r>
      <w:r w:rsidR="00073877" w:rsidRPr="003227DD">
        <w:rPr>
          <w:rFonts w:cstheme="minorHAnsi"/>
          <w:lang w:val="en-GB"/>
        </w:rPr>
        <w:t xml:space="preserve">locations showing increased </w:t>
      </w:r>
      <w:r w:rsidRPr="003227DD">
        <w:rPr>
          <w:rFonts w:cstheme="minorHAnsi"/>
          <w:lang w:val="en-GB"/>
        </w:rPr>
        <w:t>storm overflow discharge</w:t>
      </w:r>
      <w:r w:rsidR="00073877" w:rsidRPr="003227DD">
        <w:rPr>
          <w:rFonts w:cstheme="minorHAnsi"/>
          <w:lang w:val="en-GB"/>
        </w:rPr>
        <w:t xml:space="preserve">s (identified using </w:t>
      </w:r>
      <w:proofErr w:type="gramStart"/>
      <w:r w:rsidR="00073877" w:rsidRPr="003227DD">
        <w:rPr>
          <w:rFonts w:cstheme="minorHAnsi"/>
          <w:lang w:val="en-GB"/>
        </w:rPr>
        <w:t>open source</w:t>
      </w:r>
      <w:proofErr w:type="gramEnd"/>
      <w:r w:rsidR="00073877" w:rsidRPr="003227DD">
        <w:rPr>
          <w:rFonts w:cstheme="minorHAnsi"/>
          <w:lang w:val="en-GB"/>
        </w:rPr>
        <w:t xml:space="preserve"> reporting)</w:t>
      </w:r>
      <w:r w:rsidRPr="003227DD">
        <w:rPr>
          <w:rFonts w:cstheme="minorHAnsi"/>
          <w:lang w:val="en-GB"/>
        </w:rPr>
        <w:t xml:space="preserve"> largely coincide</w:t>
      </w:r>
      <w:r w:rsidR="00073877" w:rsidRPr="003227DD">
        <w:rPr>
          <w:rFonts w:cstheme="minorHAnsi"/>
          <w:lang w:val="en-GB"/>
        </w:rPr>
        <w:t>d</w:t>
      </w:r>
      <w:r w:rsidRPr="003227DD">
        <w:rPr>
          <w:rFonts w:cstheme="minorHAnsi"/>
          <w:lang w:val="en-GB"/>
        </w:rPr>
        <w:t xml:space="preserve"> with areas showing higher GWI probabilities</w:t>
      </w:r>
      <w:r w:rsidR="00073877" w:rsidRPr="003227DD">
        <w:rPr>
          <w:rFonts w:cstheme="minorHAnsi"/>
          <w:lang w:val="en-GB"/>
        </w:rPr>
        <w:t>. This</w:t>
      </w:r>
      <w:r w:rsidRPr="003227DD">
        <w:rPr>
          <w:rFonts w:cstheme="minorHAnsi"/>
          <w:lang w:val="en-GB"/>
        </w:rPr>
        <w:t xml:space="preserve"> mainly</w:t>
      </w:r>
      <w:r w:rsidR="00073877" w:rsidRPr="003227DD">
        <w:rPr>
          <w:rFonts w:cstheme="minorHAnsi"/>
          <w:lang w:val="en-GB"/>
        </w:rPr>
        <w:t xml:space="preserve"> occur</w:t>
      </w:r>
      <w:r w:rsidR="000B27C4">
        <w:rPr>
          <w:rFonts w:cstheme="minorHAnsi"/>
          <w:lang w:val="en-GB"/>
        </w:rPr>
        <w:t>r</w:t>
      </w:r>
      <w:r w:rsidR="00073877" w:rsidRPr="003227DD">
        <w:rPr>
          <w:rFonts w:cstheme="minorHAnsi"/>
          <w:lang w:val="en-GB"/>
        </w:rPr>
        <w:t>ed</w:t>
      </w:r>
      <w:r w:rsidRPr="003227DD">
        <w:rPr>
          <w:rFonts w:cstheme="minorHAnsi"/>
          <w:lang w:val="en-GB"/>
        </w:rPr>
        <w:t xml:space="preserve"> in low-lying zones with gentle slopes</w:t>
      </w:r>
      <w:r w:rsidR="00073877" w:rsidRPr="003227DD">
        <w:rPr>
          <w:rFonts w:cstheme="minorHAnsi"/>
          <w:lang w:val="en-GB"/>
        </w:rPr>
        <w:t xml:space="preserve"> and </w:t>
      </w:r>
      <w:r w:rsidRPr="003227DD">
        <w:rPr>
          <w:rFonts w:cstheme="minorHAnsi"/>
          <w:lang w:val="en-GB"/>
        </w:rPr>
        <w:t>close to rivers with higher flood potential (Figure 1).</w:t>
      </w:r>
      <w:r w:rsidR="00073877" w:rsidRPr="003227DD">
        <w:rPr>
          <w:rFonts w:cstheme="minorHAnsi"/>
          <w:lang w:val="en-GB"/>
        </w:rPr>
        <w:t xml:space="preserve"> This correlation supports an in</w:t>
      </w:r>
      <w:r w:rsidR="00272917" w:rsidRPr="003227DD">
        <w:rPr>
          <w:rFonts w:cstheme="minorHAnsi"/>
          <w:lang w:val="en-GB"/>
        </w:rPr>
        <w:t>i</w:t>
      </w:r>
      <w:r w:rsidR="00073877" w:rsidRPr="003227DD">
        <w:rPr>
          <w:rFonts w:cstheme="minorHAnsi"/>
          <w:lang w:val="en-GB"/>
        </w:rPr>
        <w:t xml:space="preserve">tial thesis that GWI may be playing an important role </w:t>
      </w:r>
      <w:r w:rsidR="008F633A" w:rsidRPr="003227DD">
        <w:rPr>
          <w:rFonts w:cstheme="minorHAnsi"/>
          <w:lang w:val="en-GB"/>
        </w:rPr>
        <w:t xml:space="preserve">in taking up network capacity and making </w:t>
      </w:r>
      <w:r w:rsidR="00272917" w:rsidRPr="003227DD">
        <w:rPr>
          <w:rFonts w:cstheme="minorHAnsi"/>
          <w:lang w:val="en-GB"/>
        </w:rPr>
        <w:t>CSO spills</w:t>
      </w:r>
      <w:r w:rsidR="008F633A" w:rsidRPr="003227DD">
        <w:rPr>
          <w:rFonts w:cstheme="minorHAnsi"/>
          <w:lang w:val="en-GB"/>
        </w:rPr>
        <w:t xml:space="preserve"> more likely</w:t>
      </w:r>
      <w:r w:rsidR="00272917" w:rsidRPr="003227DD">
        <w:rPr>
          <w:rFonts w:cstheme="minorHAnsi"/>
          <w:lang w:val="en-GB"/>
        </w:rPr>
        <w:t>.</w:t>
      </w:r>
      <w:r w:rsidR="008F633A" w:rsidRPr="003227DD">
        <w:rPr>
          <w:rFonts w:cstheme="minorHAnsi"/>
          <w:lang w:val="en-GB"/>
        </w:rPr>
        <w:t xml:space="preserve"> Understanding the scale and likelihood of potential additional inflows to the sewer system is of particular importance given water company efforts to reduce these spill events.</w:t>
      </w:r>
      <w:r w:rsidR="00073877" w:rsidRPr="003227DD">
        <w:rPr>
          <w:rFonts w:cstheme="minorHAnsi"/>
          <w:lang w:val="en-GB"/>
        </w:rPr>
        <w:t xml:space="preserve"> </w:t>
      </w:r>
    </w:p>
    <w:p w14:paraId="118A9CCC" w14:textId="5C36953C" w:rsidR="004008FA" w:rsidRDefault="004008FA" w:rsidP="004008FA">
      <w:pPr>
        <w:pStyle w:val="Heading1"/>
      </w:pPr>
      <w:r>
        <w:t>discussion</w:t>
      </w:r>
    </w:p>
    <w:p w14:paraId="25AF5B84" w14:textId="40A3BD78" w:rsidR="002B08B5" w:rsidRPr="003227DD" w:rsidRDefault="00D70BF4" w:rsidP="002B08B5">
      <w:pPr>
        <w:spacing w:line="276" w:lineRule="auto"/>
        <w:rPr>
          <w:rFonts w:cstheme="minorHAnsi"/>
          <w:lang w:val="en-GB"/>
        </w:rPr>
      </w:pPr>
      <w:r w:rsidRPr="003227DD">
        <w:rPr>
          <w:rFonts w:cstheme="minorHAnsi"/>
          <w:lang w:val="en-GB"/>
        </w:rPr>
        <w:t>Data imperfections, such as gaps, outliers, and imbalanced data sets, are significant challenges in studies assessing sewer network failure risks (Fontecha et al., 2021). While surveys of infrastructure focusing on vulnerable sewer mains are often carried out for risk management purposes, an ideal survey for modelling and predicting conditions would involve a representative sample from all types of assets (</w:t>
      </w:r>
      <w:proofErr w:type="spellStart"/>
      <w:r w:rsidRPr="003227DD">
        <w:rPr>
          <w:rFonts w:cstheme="minorHAnsi"/>
          <w:lang w:val="en-GB"/>
        </w:rPr>
        <w:t>Mashford</w:t>
      </w:r>
      <w:proofErr w:type="spellEnd"/>
      <w:r w:rsidRPr="003227DD">
        <w:rPr>
          <w:rFonts w:cstheme="minorHAnsi"/>
          <w:lang w:val="en-GB"/>
        </w:rPr>
        <w:t xml:space="preserve"> et al., 2011).</w:t>
      </w:r>
      <w:r w:rsidR="002B08B5" w:rsidRPr="003227DD">
        <w:rPr>
          <w:rFonts w:cstheme="minorHAnsi"/>
          <w:lang w:val="en-GB"/>
        </w:rPr>
        <w:t xml:space="preserve"> </w:t>
      </w:r>
      <w:r w:rsidR="002B08B5" w:rsidRPr="003227DD">
        <w:rPr>
          <w:rFonts w:cstheme="minorHAnsi"/>
          <w:lang w:val="en-GB"/>
        </w:rPr>
        <w:lastRenderedPageBreak/>
        <w:t>Herein, rather than constructing a physics-based groundwater model coupled with a sewer network approach, which requires considerable effort and detailed hydrogeological and asset data, we integrated available proxies into a geospatial framework that is highly efficient both in terms of time and computation.</w:t>
      </w:r>
    </w:p>
    <w:p w14:paraId="7DBB1249" w14:textId="4AF4A01D" w:rsidR="008D4FA9" w:rsidRDefault="008D4FA9" w:rsidP="002B08B5">
      <w:pPr>
        <w:spacing w:line="276" w:lineRule="auto"/>
        <w:rPr>
          <w:rFonts w:cstheme="minorHAnsi"/>
          <w:lang w:val="en-GB"/>
        </w:rPr>
      </w:pPr>
      <w:r w:rsidRPr="004008FA">
        <w:rPr>
          <w:rFonts w:cstheme="minorHAnsi"/>
          <w:lang w:val="en-GB"/>
        </w:rPr>
        <w:t>Given the constraints of budget, time, and available assessment tools, conducting comprehensive monitoring and inspections across all sewer pipelines is practically unfeasible. Moreover, applying traditional methodologies across an entire sewer network demands significant financial resources and time. The underground nature of sewer infrastructure, coupled with the high costs associated with closed-circuit television (CCTV) inspections and the severe consequences of pipeline failures, underscores the necessity for advanced techniques to evaluate failure risks and optimise inspection priorities. In this context, the outputs of our GIS-based model offer practical applications by identifying high-risk zones, guiding targeted inspections, and supporting evidence-based prioritisation of maintenance and mitigation measures</w:t>
      </w:r>
      <w:r w:rsidR="00577E6C">
        <w:rPr>
          <w:rFonts w:cstheme="minorHAnsi"/>
          <w:lang w:val="en-GB"/>
        </w:rPr>
        <w:t xml:space="preserve"> (Zeydalinejad et al., 2025a)</w:t>
      </w:r>
      <w:r w:rsidRPr="004008FA">
        <w:rPr>
          <w:rFonts w:cstheme="minorHAnsi"/>
          <w:lang w:val="en-GB"/>
        </w:rPr>
        <w:t>.</w:t>
      </w:r>
    </w:p>
    <w:p w14:paraId="2BB95A08" w14:textId="0ED9DE26" w:rsidR="008D4FA9" w:rsidRPr="00BC74B9" w:rsidRDefault="00BC74B9" w:rsidP="00BC74B9">
      <w:pPr>
        <w:spacing w:line="276" w:lineRule="auto"/>
        <w:rPr>
          <w:rFonts w:cstheme="minorHAnsi"/>
          <w:lang w:val="en-GB"/>
        </w:rPr>
      </w:pPr>
      <w:r w:rsidRPr="00BC74B9">
        <w:rPr>
          <w:rFonts w:cstheme="minorHAnsi"/>
          <w:lang w:val="en-GB"/>
        </w:rPr>
        <w:t xml:space="preserve">By focusing on zones with higher GWI prioritisation scores, </w:t>
      </w:r>
      <w:proofErr w:type="gramStart"/>
      <w:r w:rsidR="00D939F5">
        <w:rPr>
          <w:rFonts w:cstheme="minorHAnsi"/>
          <w:lang w:val="en-GB"/>
        </w:rPr>
        <w:t>South West</w:t>
      </w:r>
      <w:proofErr w:type="gramEnd"/>
      <w:r w:rsidR="00D939F5">
        <w:rPr>
          <w:rFonts w:cstheme="minorHAnsi"/>
          <w:lang w:val="en-GB"/>
        </w:rPr>
        <w:t xml:space="preserve"> Water (</w:t>
      </w:r>
      <w:r w:rsidRPr="00BC74B9">
        <w:rPr>
          <w:rFonts w:cstheme="minorHAnsi"/>
          <w:lang w:val="en-GB"/>
        </w:rPr>
        <w:t>SWW</w:t>
      </w:r>
      <w:r w:rsidR="00D939F5">
        <w:rPr>
          <w:rFonts w:cstheme="minorHAnsi"/>
          <w:lang w:val="en-GB"/>
        </w:rPr>
        <w:t>)</w:t>
      </w:r>
      <w:r w:rsidRPr="00BC74B9">
        <w:rPr>
          <w:rFonts w:cstheme="minorHAnsi"/>
          <w:lang w:val="en-GB"/>
        </w:rPr>
        <w:t xml:space="preserve"> can optimise its resources by targeting areas most likely to experience infiltration, reducing unnecessary investigations in low-risk zones, supporting long-term maintenance and inspection planning, and helping to prevent future issues</w:t>
      </w:r>
      <w:r w:rsidR="008D4FA9" w:rsidRPr="00F11483">
        <w:rPr>
          <w:rFonts w:cstheme="minorHAnsi"/>
          <w:lang w:val="en-GB"/>
        </w:rPr>
        <w:t>.</w:t>
      </w:r>
      <w:r w:rsidR="004235EB" w:rsidRPr="004235EB">
        <w:rPr>
          <w:rFonts w:ascii="Times New Roman" w:hAnsi="Times New Roman"/>
          <w:sz w:val="24"/>
          <w:lang w:val="en-GB" w:eastAsia="en-GB"/>
        </w:rPr>
        <w:t xml:space="preserve"> </w:t>
      </w:r>
    </w:p>
    <w:p w14:paraId="5DD04423" w14:textId="47CFEC3D" w:rsidR="003B66F0" w:rsidRDefault="003B66F0" w:rsidP="003B66F0">
      <w:pPr>
        <w:pStyle w:val="Heading1"/>
      </w:pPr>
      <w:r>
        <w:t>Conclusions</w:t>
      </w:r>
    </w:p>
    <w:p w14:paraId="08BD8815" w14:textId="6BE22483" w:rsidR="00671849" w:rsidRPr="004235EB" w:rsidRDefault="004235EB" w:rsidP="004235EB">
      <w:pPr>
        <w:spacing w:line="276" w:lineRule="auto"/>
        <w:rPr>
          <w:rFonts w:cstheme="minorHAnsi"/>
          <w:lang w:val="en-GB"/>
        </w:rPr>
      </w:pPr>
      <w:r w:rsidRPr="004235EB">
        <w:rPr>
          <w:rFonts w:cstheme="minorHAnsi"/>
          <w:lang w:val="en-GB"/>
        </w:rPr>
        <w:t xml:space="preserve">Overall, this study highlights the effectiveness of the proposed F-AHP-based GIS </w:t>
      </w:r>
      <w:r w:rsidR="00934C25">
        <w:rPr>
          <w:rFonts w:cstheme="minorHAnsi"/>
          <w:lang w:val="en-GB"/>
        </w:rPr>
        <w:t>approach</w:t>
      </w:r>
      <w:r w:rsidRPr="004235EB">
        <w:rPr>
          <w:rFonts w:cstheme="minorHAnsi"/>
          <w:lang w:val="en-GB"/>
        </w:rPr>
        <w:t xml:space="preserve"> for assessing GWI in sewer networks. The resulting framework equips </w:t>
      </w:r>
      <w:r w:rsidR="00934C25">
        <w:rPr>
          <w:rFonts w:cstheme="minorHAnsi"/>
          <w:lang w:val="en-GB"/>
        </w:rPr>
        <w:t>asset</w:t>
      </w:r>
      <w:r w:rsidRPr="004235EB">
        <w:rPr>
          <w:rFonts w:cstheme="minorHAnsi"/>
          <w:lang w:val="en-GB"/>
        </w:rPr>
        <w:t xml:space="preserve"> managers with a practical tool for prioritising engineering actions to support long-term asset sustainability. It delivers high-resolution (1 m × 1 m) GWI probability scores</w:t>
      </w:r>
      <w:r w:rsidR="00934C25">
        <w:rPr>
          <w:rFonts w:cstheme="minorHAnsi"/>
          <w:lang w:val="en-GB"/>
        </w:rPr>
        <w:t xml:space="preserve"> </w:t>
      </w:r>
      <w:r w:rsidRPr="004235EB">
        <w:rPr>
          <w:rFonts w:cstheme="minorHAnsi"/>
          <w:lang w:val="en-GB"/>
        </w:rPr>
        <w:t>covering both current sewered zones and locations where future infrastructure may be installed. The value of this work lies in providing a transferable, data-driven approach that improves GWI estimation and enables proactive, informed decision-making, thereby enhancing the resilience and sustainability of urban water systems.</w:t>
      </w:r>
    </w:p>
    <w:p w14:paraId="1663DBAE" w14:textId="5BF39383" w:rsidR="0059766B" w:rsidRDefault="0059766B" w:rsidP="006A683B">
      <w:pPr>
        <w:pStyle w:val="Title"/>
        <w:rPr>
          <w:color w:val="auto"/>
          <w:lang w:val="en-GB"/>
        </w:rPr>
      </w:pPr>
    </w:p>
    <w:p w14:paraId="386FA569" w14:textId="30C87CAE" w:rsidR="00C31BFD" w:rsidRPr="00061D24" w:rsidRDefault="006A683B" w:rsidP="006A683B">
      <w:pPr>
        <w:pStyle w:val="Title"/>
        <w:rPr>
          <w:color w:val="auto"/>
          <w:lang w:val="en-GB"/>
        </w:rPr>
      </w:pPr>
      <w:r w:rsidRPr="00061D24">
        <w:rPr>
          <w:color w:val="auto"/>
          <w:lang w:val="en-GB"/>
        </w:rPr>
        <w:t>LIST OF REFERENCES</w:t>
      </w:r>
    </w:p>
    <w:p w14:paraId="2CAB79A8" w14:textId="7DA821BC" w:rsidR="00D70BF4" w:rsidRPr="003227DD" w:rsidRDefault="00D70BF4" w:rsidP="00D70BF4">
      <w:pPr>
        <w:ind w:left="284" w:hanging="284"/>
        <w:rPr>
          <w:rFonts w:cstheme="minorHAnsi"/>
          <w:sz w:val="18"/>
          <w:lang w:val="en-GB"/>
        </w:rPr>
      </w:pPr>
      <w:r w:rsidRPr="003227DD">
        <w:rPr>
          <w:rFonts w:cstheme="minorHAnsi"/>
          <w:sz w:val="18"/>
          <w:lang w:val="en-GB"/>
        </w:rPr>
        <w:t xml:space="preserve">Fontecha, J.E., Agarwal, P., Torres, M.N., Mukherjee, S., </w:t>
      </w:r>
      <w:proofErr w:type="spellStart"/>
      <w:r w:rsidRPr="003227DD">
        <w:rPr>
          <w:rFonts w:cstheme="minorHAnsi"/>
          <w:sz w:val="18"/>
          <w:lang w:val="en-GB"/>
        </w:rPr>
        <w:t>Walteros</w:t>
      </w:r>
      <w:proofErr w:type="spellEnd"/>
      <w:r w:rsidRPr="003227DD">
        <w:rPr>
          <w:rFonts w:cstheme="minorHAnsi"/>
          <w:sz w:val="18"/>
          <w:lang w:val="en-GB"/>
        </w:rPr>
        <w:t xml:space="preserve">, J.L. and Rodríguez, J.P. (2021). </w:t>
      </w:r>
      <w:r w:rsidRPr="003227DD">
        <w:rPr>
          <w:rFonts w:cstheme="minorHAnsi"/>
          <w:i/>
          <w:iCs/>
          <w:sz w:val="18"/>
          <w:lang w:val="en-GB"/>
        </w:rPr>
        <w:t>A two-stage data-driven spatiotemporal analysis to predict failure risk of urban sewer systems leveraging machine learning algorithms.</w:t>
      </w:r>
      <w:r w:rsidRPr="003227DD">
        <w:rPr>
          <w:rFonts w:cstheme="minorHAnsi"/>
          <w:sz w:val="18"/>
          <w:lang w:val="en-GB"/>
        </w:rPr>
        <w:t xml:space="preserve"> Risk Anal., 41, 2356–2391.</w:t>
      </w:r>
    </w:p>
    <w:p w14:paraId="0C53735F" w14:textId="7790779B" w:rsidR="00EF27B3" w:rsidRDefault="00EF27B3" w:rsidP="00EF27B3">
      <w:pPr>
        <w:ind w:left="284" w:hanging="284"/>
        <w:rPr>
          <w:rFonts w:cstheme="minorHAnsi"/>
          <w:sz w:val="18"/>
          <w:lang w:val="en-GB"/>
        </w:rPr>
      </w:pPr>
      <w:proofErr w:type="spellStart"/>
      <w:r w:rsidRPr="003227DD">
        <w:rPr>
          <w:rFonts w:cstheme="minorHAnsi"/>
          <w:sz w:val="18"/>
          <w:lang w:val="en-GB"/>
        </w:rPr>
        <w:t>Mashford</w:t>
      </w:r>
      <w:proofErr w:type="spellEnd"/>
      <w:r w:rsidRPr="003227DD">
        <w:rPr>
          <w:rFonts w:cstheme="minorHAnsi"/>
          <w:sz w:val="18"/>
          <w:lang w:val="en-GB"/>
        </w:rPr>
        <w:t xml:space="preserve">, J., Marlow, D., Tran, D. and May, R. (2011). </w:t>
      </w:r>
      <w:r w:rsidRPr="003227DD">
        <w:rPr>
          <w:rFonts w:cstheme="minorHAnsi"/>
          <w:i/>
          <w:iCs/>
          <w:sz w:val="18"/>
          <w:lang w:val="en-GB"/>
        </w:rPr>
        <w:t>Prediction of sewer condition grade using support vector machines.</w:t>
      </w:r>
      <w:r w:rsidRPr="003227DD">
        <w:rPr>
          <w:rFonts w:cstheme="minorHAnsi"/>
          <w:sz w:val="18"/>
          <w:lang w:val="en-GB"/>
        </w:rPr>
        <w:t xml:space="preserve"> J. Comput. Civ. Eng., 25, 283–290.</w:t>
      </w:r>
    </w:p>
    <w:p w14:paraId="5A256DF3" w14:textId="1051C97D" w:rsidR="00076373" w:rsidRDefault="00076373" w:rsidP="00076373">
      <w:pPr>
        <w:ind w:left="284" w:hanging="284"/>
        <w:rPr>
          <w:rFonts w:cstheme="minorHAnsi"/>
          <w:sz w:val="18"/>
          <w:lang w:val="en-GB"/>
        </w:rPr>
      </w:pPr>
      <w:r w:rsidRPr="00076373">
        <w:rPr>
          <w:rFonts w:cstheme="minorHAnsi"/>
          <w:sz w:val="18"/>
          <w:lang w:val="en-GB"/>
        </w:rPr>
        <w:t xml:space="preserve">Pangle, L.A., Diem, J.E., Milligan, R., Adams, E. and Murray, A. (2022). </w:t>
      </w:r>
      <w:r w:rsidRPr="00076373">
        <w:rPr>
          <w:rFonts w:cstheme="minorHAnsi"/>
          <w:i/>
          <w:iCs/>
          <w:sz w:val="18"/>
          <w:lang w:val="en-GB"/>
        </w:rPr>
        <w:t>Contextualizing inflow and infiltration within the streamflow regime of urban watersheds</w:t>
      </w:r>
      <w:r w:rsidRPr="00076373">
        <w:rPr>
          <w:rFonts w:cstheme="minorHAnsi"/>
          <w:sz w:val="18"/>
          <w:lang w:val="en-GB"/>
        </w:rPr>
        <w:t xml:space="preserve">. Water </w:t>
      </w:r>
      <w:proofErr w:type="spellStart"/>
      <w:r w:rsidRPr="00076373">
        <w:rPr>
          <w:rFonts w:cstheme="minorHAnsi"/>
          <w:sz w:val="18"/>
          <w:lang w:val="en-GB"/>
        </w:rPr>
        <w:t>Resour</w:t>
      </w:r>
      <w:proofErr w:type="spellEnd"/>
      <w:r w:rsidRPr="00076373">
        <w:rPr>
          <w:rFonts w:cstheme="minorHAnsi"/>
          <w:sz w:val="18"/>
          <w:lang w:val="en-GB"/>
        </w:rPr>
        <w:t>. Res., 58, e2021WR030406.</w:t>
      </w:r>
    </w:p>
    <w:p w14:paraId="1E7D1B81" w14:textId="3E4BB2C9" w:rsidR="00654B29" w:rsidRPr="00231BD3" w:rsidRDefault="00654B29" w:rsidP="00654B29">
      <w:pPr>
        <w:ind w:left="284" w:hanging="284"/>
        <w:rPr>
          <w:rFonts w:cstheme="minorHAnsi"/>
          <w:sz w:val="18"/>
          <w:lang w:val="en-GB"/>
        </w:rPr>
      </w:pPr>
      <w:r w:rsidRPr="00654B29">
        <w:rPr>
          <w:rFonts w:cstheme="minorHAnsi"/>
          <w:sz w:val="18"/>
          <w:lang w:val="en-GB"/>
        </w:rPr>
        <w:t xml:space="preserve">Priya, K. (2023). </w:t>
      </w:r>
      <w:r w:rsidRPr="00654B29">
        <w:rPr>
          <w:rFonts w:cstheme="minorHAnsi"/>
          <w:i/>
          <w:iCs/>
          <w:sz w:val="18"/>
          <w:lang w:val="en-GB"/>
        </w:rPr>
        <w:t xml:space="preserve">Sub-watershed prioritization of </w:t>
      </w:r>
      <w:proofErr w:type="spellStart"/>
      <w:r w:rsidRPr="00654B29">
        <w:rPr>
          <w:rFonts w:cstheme="minorHAnsi"/>
          <w:i/>
          <w:iCs/>
          <w:sz w:val="18"/>
          <w:lang w:val="en-GB"/>
        </w:rPr>
        <w:t>Kariangote</w:t>
      </w:r>
      <w:proofErr w:type="spellEnd"/>
      <w:r w:rsidRPr="00654B29">
        <w:rPr>
          <w:rFonts w:cstheme="minorHAnsi"/>
          <w:i/>
          <w:iCs/>
          <w:sz w:val="18"/>
          <w:lang w:val="en-GB"/>
        </w:rPr>
        <w:t xml:space="preserve"> River in Kerala based on drainage morphometry and geomorphology – a remote sensing and GIS approach.</w:t>
      </w:r>
      <w:r w:rsidRPr="00654B29">
        <w:rPr>
          <w:rFonts w:cstheme="minorHAnsi"/>
          <w:sz w:val="18"/>
          <w:lang w:val="en-GB"/>
        </w:rPr>
        <w:t xml:space="preserve"> Indian J. Sci. Technol., 16, 978–988.</w:t>
      </w:r>
    </w:p>
    <w:p w14:paraId="168D585B" w14:textId="77777777" w:rsidR="00E87B1E" w:rsidRPr="00E87B1E" w:rsidRDefault="00E87B1E" w:rsidP="00E87B1E">
      <w:pPr>
        <w:ind w:left="284" w:hanging="284"/>
        <w:rPr>
          <w:rFonts w:cstheme="minorHAnsi"/>
          <w:sz w:val="18"/>
          <w:lang w:val="en-GB"/>
        </w:rPr>
      </w:pPr>
      <w:proofErr w:type="spellStart"/>
      <w:r w:rsidRPr="00E87B1E">
        <w:rPr>
          <w:rFonts w:cstheme="minorHAnsi"/>
          <w:sz w:val="18"/>
          <w:lang w:val="en-GB"/>
        </w:rPr>
        <w:t>Tavosi</w:t>
      </w:r>
      <w:proofErr w:type="spellEnd"/>
      <w:r w:rsidRPr="00E87B1E">
        <w:rPr>
          <w:rFonts w:cstheme="minorHAnsi"/>
          <w:sz w:val="18"/>
          <w:lang w:val="en-GB"/>
        </w:rPr>
        <w:t xml:space="preserve">, M., Vafakhah, M., Sadeghi, S.H. and </w:t>
      </w:r>
      <w:proofErr w:type="spellStart"/>
      <w:r w:rsidRPr="00E87B1E">
        <w:rPr>
          <w:rFonts w:cstheme="minorHAnsi"/>
          <w:sz w:val="18"/>
          <w:lang w:val="en-GB"/>
        </w:rPr>
        <w:t>Bateni</w:t>
      </w:r>
      <w:proofErr w:type="spellEnd"/>
      <w:r w:rsidRPr="00E87B1E">
        <w:rPr>
          <w:rFonts w:cstheme="minorHAnsi"/>
          <w:sz w:val="18"/>
          <w:lang w:val="en-GB"/>
        </w:rPr>
        <w:t xml:space="preserve">, S.M. (2024). </w:t>
      </w:r>
      <w:r w:rsidRPr="00E87B1E">
        <w:rPr>
          <w:rFonts w:cstheme="minorHAnsi"/>
          <w:i/>
          <w:iCs/>
          <w:sz w:val="18"/>
          <w:lang w:val="en-GB"/>
        </w:rPr>
        <w:t>Sub-watershed prioritization based on watershed hydrological security using different multi-criteria decision-making methods.</w:t>
      </w:r>
      <w:r w:rsidRPr="00E87B1E">
        <w:rPr>
          <w:rFonts w:cstheme="minorHAnsi"/>
          <w:sz w:val="18"/>
          <w:lang w:val="en-GB"/>
        </w:rPr>
        <w:t xml:space="preserve"> Water </w:t>
      </w:r>
      <w:proofErr w:type="spellStart"/>
      <w:r w:rsidRPr="00E87B1E">
        <w:rPr>
          <w:rFonts w:cstheme="minorHAnsi"/>
          <w:sz w:val="18"/>
          <w:lang w:val="en-GB"/>
        </w:rPr>
        <w:t>Resour</w:t>
      </w:r>
      <w:proofErr w:type="spellEnd"/>
      <w:r w:rsidRPr="00E87B1E">
        <w:rPr>
          <w:rFonts w:cstheme="minorHAnsi"/>
          <w:sz w:val="18"/>
          <w:lang w:val="en-GB"/>
        </w:rPr>
        <w:t>. Manag., 1–26.</w:t>
      </w:r>
    </w:p>
    <w:p w14:paraId="6BA750E0" w14:textId="77777777" w:rsidR="00884044" w:rsidRDefault="00884044" w:rsidP="00884044">
      <w:pPr>
        <w:ind w:left="284" w:hanging="284"/>
        <w:rPr>
          <w:rFonts w:cstheme="minorHAnsi"/>
          <w:sz w:val="18"/>
          <w:lang w:val="en-GB"/>
        </w:rPr>
      </w:pPr>
      <w:r w:rsidRPr="00231BD3">
        <w:rPr>
          <w:rFonts w:cstheme="minorHAnsi"/>
          <w:sz w:val="18"/>
          <w:lang w:val="en-GB"/>
        </w:rPr>
        <w:t>Zeydalinejad, N., Javadi, A.A., Baldock, D. and Webber, J.L. (2024</w:t>
      </w:r>
      <w:r>
        <w:rPr>
          <w:rFonts w:cstheme="minorHAnsi"/>
          <w:sz w:val="18"/>
          <w:lang w:val="en-GB"/>
        </w:rPr>
        <w:t>b</w:t>
      </w:r>
      <w:r w:rsidRPr="00231BD3">
        <w:rPr>
          <w:rFonts w:cstheme="minorHAnsi"/>
          <w:sz w:val="18"/>
          <w:lang w:val="en-GB"/>
        </w:rPr>
        <w:t xml:space="preserve">). </w:t>
      </w:r>
      <w:r w:rsidRPr="00231BD3">
        <w:rPr>
          <w:rFonts w:cstheme="minorHAnsi"/>
          <w:i/>
          <w:iCs/>
          <w:sz w:val="18"/>
          <w:lang w:val="en-GB"/>
        </w:rPr>
        <w:t xml:space="preserve">An integrated hydrological-hydrogeological model for analysing </w:t>
      </w:r>
      <w:proofErr w:type="spellStart"/>
      <w:r w:rsidRPr="00231BD3">
        <w:rPr>
          <w:rFonts w:cstheme="minorHAnsi"/>
          <w:i/>
          <w:iCs/>
          <w:sz w:val="18"/>
          <w:lang w:val="en-GB"/>
        </w:rPr>
        <w:t>spatio</w:t>
      </w:r>
      <w:proofErr w:type="spellEnd"/>
      <w:r w:rsidRPr="00231BD3">
        <w:rPr>
          <w:rFonts w:cstheme="minorHAnsi"/>
          <w:i/>
          <w:iCs/>
          <w:sz w:val="18"/>
          <w:lang w:val="en-GB"/>
        </w:rPr>
        <w:t>-temporal probability of groundwater infiltration in urban infrastructure</w:t>
      </w:r>
      <w:r w:rsidRPr="00231BD3">
        <w:rPr>
          <w:rFonts w:cstheme="minorHAnsi"/>
          <w:sz w:val="18"/>
          <w:lang w:val="en-GB"/>
        </w:rPr>
        <w:t>. Sustainable Cities Soc., 116, 105891.</w:t>
      </w:r>
    </w:p>
    <w:p w14:paraId="64F6FF58" w14:textId="446F4CB0" w:rsidR="000F58F1" w:rsidRDefault="000F58F1" w:rsidP="000F58F1">
      <w:pPr>
        <w:ind w:left="284" w:hanging="284"/>
        <w:rPr>
          <w:rFonts w:cstheme="minorHAnsi"/>
          <w:sz w:val="18"/>
          <w:lang w:val="en-GB"/>
        </w:rPr>
      </w:pPr>
      <w:r w:rsidRPr="000F58F1">
        <w:rPr>
          <w:rFonts w:cstheme="minorHAnsi"/>
          <w:sz w:val="18"/>
          <w:lang w:val="en-GB"/>
        </w:rPr>
        <w:t>Zeydalinejad, N., Javadi, A.A. and Webber, J.L. (2024</w:t>
      </w:r>
      <w:r>
        <w:rPr>
          <w:rFonts w:cstheme="minorHAnsi"/>
          <w:sz w:val="18"/>
          <w:lang w:val="en-GB"/>
        </w:rPr>
        <w:t>a</w:t>
      </w:r>
      <w:r w:rsidRPr="000F58F1">
        <w:rPr>
          <w:rFonts w:cstheme="minorHAnsi"/>
          <w:sz w:val="18"/>
          <w:lang w:val="en-GB"/>
        </w:rPr>
        <w:t xml:space="preserve">). </w:t>
      </w:r>
      <w:r w:rsidRPr="000F58F1">
        <w:rPr>
          <w:rFonts w:cstheme="minorHAnsi"/>
          <w:i/>
          <w:iCs/>
          <w:sz w:val="18"/>
          <w:lang w:val="en-GB"/>
        </w:rPr>
        <w:t>Global perspectives on groundwater infiltration to sewer networks: A threat to urban sustainability</w:t>
      </w:r>
      <w:r w:rsidRPr="000F58F1">
        <w:rPr>
          <w:rFonts w:cstheme="minorHAnsi"/>
          <w:sz w:val="18"/>
          <w:lang w:val="en-GB"/>
        </w:rPr>
        <w:t>. Water Res., 262, 122098.</w:t>
      </w:r>
    </w:p>
    <w:p w14:paraId="5375A7E4" w14:textId="44ABD5B6" w:rsidR="009E33B3" w:rsidRPr="009E33B3" w:rsidRDefault="009E33B3" w:rsidP="009E33B3">
      <w:pPr>
        <w:ind w:left="284" w:hanging="284"/>
        <w:rPr>
          <w:rFonts w:cstheme="minorHAnsi"/>
          <w:sz w:val="18"/>
          <w:lang w:val="en-GB"/>
        </w:rPr>
      </w:pPr>
      <w:r w:rsidRPr="009E33B3">
        <w:rPr>
          <w:rFonts w:cstheme="minorHAnsi"/>
          <w:sz w:val="18"/>
          <w:lang w:val="en-GB"/>
        </w:rPr>
        <w:t>Zeydalinejad, N., Javadi, A.A., Jacob, M., Baldock, D. and Webber, J.L. (2025</w:t>
      </w:r>
      <w:r>
        <w:rPr>
          <w:rFonts w:cstheme="minorHAnsi"/>
          <w:sz w:val="18"/>
          <w:lang w:val="en-GB"/>
        </w:rPr>
        <w:t>a</w:t>
      </w:r>
      <w:r w:rsidRPr="009E33B3">
        <w:rPr>
          <w:rFonts w:cstheme="minorHAnsi"/>
          <w:sz w:val="18"/>
          <w:lang w:val="en-GB"/>
        </w:rPr>
        <w:t xml:space="preserve">). </w:t>
      </w:r>
      <w:r w:rsidRPr="009E33B3">
        <w:rPr>
          <w:rFonts w:cstheme="minorHAnsi"/>
          <w:i/>
          <w:iCs/>
          <w:sz w:val="18"/>
          <w:lang w:val="en-GB"/>
        </w:rPr>
        <w:t>Can Proxy-Based Geospatial and Machine Learning Approaches Map Sewer Network Exposure to Groundwater Infiltration?</w:t>
      </w:r>
      <w:r w:rsidRPr="009E33B3">
        <w:rPr>
          <w:rFonts w:cstheme="minorHAnsi"/>
          <w:sz w:val="18"/>
          <w:lang w:val="en-GB"/>
        </w:rPr>
        <w:t xml:space="preserve"> Smart Cities, 8(5), 145.</w:t>
      </w:r>
    </w:p>
    <w:p w14:paraId="6C7C03E6" w14:textId="6AFF6568" w:rsidR="000F58F1" w:rsidRDefault="009E33B3" w:rsidP="00C75952">
      <w:pPr>
        <w:ind w:left="284" w:hanging="284"/>
        <w:rPr>
          <w:rFonts w:cstheme="minorHAnsi"/>
          <w:sz w:val="18"/>
          <w:lang w:val="en-GB"/>
        </w:rPr>
      </w:pPr>
      <w:r w:rsidRPr="009E33B3">
        <w:rPr>
          <w:rFonts w:cstheme="minorHAnsi"/>
          <w:sz w:val="18"/>
          <w:lang w:val="en-GB"/>
        </w:rPr>
        <w:t>Zeydalinejad, N., Javadi, A.A., Jacob, M., Baldock, D. and Webber, J.L. (2025</w:t>
      </w:r>
      <w:r>
        <w:rPr>
          <w:rFonts w:cstheme="minorHAnsi"/>
          <w:sz w:val="18"/>
          <w:lang w:val="en-GB"/>
        </w:rPr>
        <w:t>b</w:t>
      </w:r>
      <w:r w:rsidRPr="009E33B3">
        <w:rPr>
          <w:rFonts w:cstheme="minorHAnsi"/>
          <w:sz w:val="18"/>
          <w:lang w:val="en-GB"/>
        </w:rPr>
        <w:t xml:space="preserve">). </w:t>
      </w:r>
      <w:r w:rsidRPr="009E33B3">
        <w:rPr>
          <w:rFonts w:cstheme="minorHAnsi"/>
          <w:i/>
          <w:iCs/>
          <w:sz w:val="18"/>
          <w:lang w:val="en-GB"/>
        </w:rPr>
        <w:t xml:space="preserve">Prioritising </w:t>
      </w:r>
      <w:proofErr w:type="spellStart"/>
      <w:r w:rsidRPr="009E33B3">
        <w:rPr>
          <w:rFonts w:cstheme="minorHAnsi"/>
          <w:i/>
          <w:iCs/>
          <w:sz w:val="18"/>
          <w:lang w:val="en-GB"/>
        </w:rPr>
        <w:t>sewersheds</w:t>
      </w:r>
      <w:proofErr w:type="spellEnd"/>
      <w:r w:rsidRPr="009E33B3">
        <w:rPr>
          <w:rFonts w:cstheme="minorHAnsi"/>
          <w:i/>
          <w:iCs/>
          <w:sz w:val="18"/>
          <w:lang w:val="en-GB"/>
        </w:rPr>
        <w:t xml:space="preserve"> based on groundwater infiltration probability: A geospatial approach</w:t>
      </w:r>
      <w:r w:rsidRPr="009E33B3">
        <w:rPr>
          <w:rFonts w:cstheme="minorHAnsi"/>
          <w:sz w:val="18"/>
          <w:lang w:val="en-GB"/>
        </w:rPr>
        <w:t>. Water Res., 124521.</w:t>
      </w:r>
    </w:p>
    <w:p w14:paraId="5DB2796F" w14:textId="7B5C5A1C" w:rsidR="002E16E5" w:rsidRPr="00C75952" w:rsidRDefault="002E16E5" w:rsidP="002B08B5">
      <w:pPr>
        <w:ind w:left="284" w:hanging="284"/>
        <w:rPr>
          <w:rFonts w:cstheme="minorHAnsi"/>
          <w:sz w:val="18"/>
          <w:lang w:val="en-GB"/>
        </w:rPr>
      </w:pPr>
      <w:r w:rsidRPr="002E16E5">
        <w:rPr>
          <w:rFonts w:cstheme="minorHAnsi"/>
          <w:sz w:val="18"/>
          <w:lang w:val="en-GB"/>
        </w:rPr>
        <w:t xml:space="preserve">Zhang, M., Liu, Y., Cheng, X., Zhu, D.Z., Shi, H. and Yuan, Z. (2018). </w:t>
      </w:r>
      <w:r w:rsidRPr="002E16E5">
        <w:rPr>
          <w:rFonts w:cstheme="minorHAnsi"/>
          <w:i/>
          <w:iCs/>
          <w:sz w:val="18"/>
          <w:lang w:val="en-GB"/>
        </w:rPr>
        <w:t>Quantifying rainfall-derived inflow and infiltration in sanitary sewer systems based on conductivity monitoring.</w:t>
      </w:r>
      <w:r w:rsidRPr="002E16E5">
        <w:rPr>
          <w:rFonts w:cstheme="minorHAnsi"/>
          <w:sz w:val="18"/>
          <w:lang w:val="en-GB"/>
        </w:rPr>
        <w:t xml:space="preserve"> J. </w:t>
      </w:r>
      <w:proofErr w:type="spellStart"/>
      <w:r w:rsidRPr="002E16E5">
        <w:rPr>
          <w:rFonts w:cstheme="minorHAnsi"/>
          <w:sz w:val="18"/>
          <w:lang w:val="en-GB"/>
        </w:rPr>
        <w:t>Hydrol</w:t>
      </w:r>
      <w:proofErr w:type="spellEnd"/>
      <w:r w:rsidRPr="002E16E5">
        <w:rPr>
          <w:rFonts w:cstheme="minorHAnsi"/>
          <w:sz w:val="18"/>
          <w:lang w:val="en-GB"/>
        </w:rPr>
        <w:t>., 558, 174–183.</w:t>
      </w:r>
    </w:p>
    <w:sectPr w:rsidR="002E16E5" w:rsidRPr="00C75952" w:rsidSect="00406F9D">
      <w:headerReference w:type="even" r:id="rId10"/>
      <w:headerReference w:type="default" r:id="rId11"/>
      <w:footerReference w:type="even" r:id="rId12"/>
      <w:footerReference w:type="default" r:id="rId13"/>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3A818D" w14:textId="77777777" w:rsidR="00A06B41" w:rsidRDefault="00A06B41" w:rsidP="005667E5">
      <w:r>
        <w:separator/>
      </w:r>
    </w:p>
    <w:p w14:paraId="3688E866" w14:textId="77777777" w:rsidR="00A06B41" w:rsidRDefault="00A06B41"/>
  </w:endnote>
  <w:endnote w:type="continuationSeparator" w:id="0">
    <w:p w14:paraId="1AB02D9A" w14:textId="77777777" w:rsidR="00A06B41" w:rsidRDefault="00A06B41" w:rsidP="005667E5">
      <w:r>
        <w:continuationSeparator/>
      </w:r>
    </w:p>
    <w:p w14:paraId="73D2401D" w14:textId="77777777" w:rsidR="00A06B41" w:rsidRDefault="00A06B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B30E8" w14:textId="77777777"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2</w:t>
    </w:r>
    <w:r w:rsidRPr="00E04432">
      <w:rPr>
        <w:sz w:val="16"/>
      </w:rPr>
      <w:fldChar w:fldCharType="end"/>
    </w:r>
  </w:p>
  <w:p w14:paraId="548FF937" w14:textId="77777777" w:rsidR="007C5057" w:rsidRDefault="007C505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01EB9" w14:textId="77777777"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1</w:t>
    </w:r>
    <w:r w:rsidRPr="00E04432">
      <w:rPr>
        <w:sz w:val="16"/>
      </w:rPr>
      <w:fldChar w:fldCharType="end"/>
    </w:r>
  </w:p>
  <w:p w14:paraId="076751A3" w14:textId="77777777" w:rsidR="007C5057" w:rsidRDefault="007C505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F9569A" w14:textId="77777777" w:rsidR="00A06B41" w:rsidRDefault="00A06B41" w:rsidP="005667E5">
      <w:r>
        <w:separator/>
      </w:r>
    </w:p>
    <w:p w14:paraId="1D7C4F74" w14:textId="77777777" w:rsidR="00A06B41" w:rsidRDefault="00A06B41"/>
  </w:footnote>
  <w:footnote w:type="continuationSeparator" w:id="0">
    <w:p w14:paraId="4B8A36A5" w14:textId="77777777" w:rsidR="00A06B41" w:rsidRDefault="00A06B41" w:rsidP="005667E5">
      <w:r>
        <w:continuationSeparator/>
      </w:r>
    </w:p>
    <w:p w14:paraId="105F3F0C" w14:textId="77777777" w:rsidR="00A06B41" w:rsidRDefault="00A06B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E1621" w14:textId="77777777" w:rsidR="00370415" w:rsidRPr="0019193B" w:rsidRDefault="00370415" w:rsidP="005D6F11">
    <w:pPr>
      <w:pStyle w:val="en-tte"/>
      <w:ind w:left="0" w:firstLine="0"/>
      <w:jc w:val="left"/>
    </w:pPr>
  </w:p>
  <w:p w14:paraId="68D3A87B" w14:textId="77777777" w:rsidR="007C5057" w:rsidRDefault="007C505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576FC" w14:textId="0AE7F88F" w:rsidR="00370415" w:rsidRPr="009D500F" w:rsidRDefault="009D500F" w:rsidP="009D500F">
    <w:pPr>
      <w:pStyle w:val="Header"/>
      <w:pBdr>
        <w:bottom w:val="single" w:sz="4" w:space="1" w:color="auto"/>
      </w:pBdr>
      <w:jc w:val="center"/>
      <w:rPr>
        <w:rFonts w:cstheme="minorHAnsi"/>
        <w:b/>
        <w:color w:val="00708E"/>
        <w:sz w:val="20"/>
      </w:rPr>
    </w:pPr>
    <w:r w:rsidRPr="009D500F">
      <w:rPr>
        <w:rFonts w:cstheme="minorHAnsi"/>
        <w:b/>
        <w:color w:val="00708E"/>
        <w:sz w:val="20"/>
      </w:rPr>
      <w:t>NOVATECH 202</w:t>
    </w:r>
    <w:r w:rsidR="00061D24">
      <w:rPr>
        <w:rFonts w:cstheme="minorHAnsi"/>
        <w:b/>
        <w:color w:val="00708E"/>
        <w:sz w:val="20"/>
      </w:rPr>
      <w:t>6</w:t>
    </w:r>
  </w:p>
  <w:p w14:paraId="66126282" w14:textId="77777777" w:rsidR="007C5057" w:rsidRDefault="007C50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 w15:restartNumberingAfterBreak="0">
    <w:nsid w:val="45756730"/>
    <w:multiLevelType w:val="multilevel"/>
    <w:tmpl w:val="7474E568"/>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 w15:restartNumberingAfterBreak="0">
    <w:nsid w:val="4FC74BC1"/>
    <w:multiLevelType w:val="hybridMultilevel"/>
    <w:tmpl w:val="7284A722"/>
    <w:lvl w:ilvl="0" w:tplc="5058AD74">
      <w:start w:val="1"/>
      <w:numFmt w:val="bullet"/>
      <w:pStyle w:val="Normaltir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1153374245">
    <w:abstractNumId w:val="1"/>
  </w:num>
  <w:num w:numId="2" w16cid:durableId="728966107">
    <w:abstractNumId w:val="0"/>
  </w:num>
  <w:num w:numId="3" w16cid:durableId="384642938">
    <w:abstractNumId w:val="4"/>
  </w:num>
  <w:num w:numId="4" w16cid:durableId="502670478">
    <w:abstractNumId w:val="2"/>
  </w:num>
  <w:num w:numId="5" w16cid:durableId="755371139">
    <w:abstractNumId w:val="3"/>
  </w:num>
  <w:num w:numId="6" w16cid:durableId="13138690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23D54"/>
    <w:rsid w:val="00043479"/>
    <w:rsid w:val="000567D3"/>
    <w:rsid w:val="00061D24"/>
    <w:rsid w:val="00065626"/>
    <w:rsid w:val="00072C08"/>
    <w:rsid w:val="00073877"/>
    <w:rsid w:val="00076373"/>
    <w:rsid w:val="00077E66"/>
    <w:rsid w:val="0008016D"/>
    <w:rsid w:val="000A7243"/>
    <w:rsid w:val="000B27C4"/>
    <w:rsid w:val="000B548D"/>
    <w:rsid w:val="000C4446"/>
    <w:rsid w:val="000C458D"/>
    <w:rsid w:val="000C49AF"/>
    <w:rsid w:val="000D1E1D"/>
    <w:rsid w:val="000F49ED"/>
    <w:rsid w:val="000F58F1"/>
    <w:rsid w:val="000F5B02"/>
    <w:rsid w:val="000F7DE8"/>
    <w:rsid w:val="001021DA"/>
    <w:rsid w:val="0011769B"/>
    <w:rsid w:val="0013036A"/>
    <w:rsid w:val="00144B46"/>
    <w:rsid w:val="001557D7"/>
    <w:rsid w:val="00171AF0"/>
    <w:rsid w:val="00183221"/>
    <w:rsid w:val="00183BB7"/>
    <w:rsid w:val="00184A1B"/>
    <w:rsid w:val="001878A3"/>
    <w:rsid w:val="0019193B"/>
    <w:rsid w:val="001F3428"/>
    <w:rsid w:val="0020051D"/>
    <w:rsid w:val="00230DAC"/>
    <w:rsid w:val="00231BD3"/>
    <w:rsid w:val="00272917"/>
    <w:rsid w:val="002907DC"/>
    <w:rsid w:val="00295705"/>
    <w:rsid w:val="002B08B5"/>
    <w:rsid w:val="002D79B2"/>
    <w:rsid w:val="002E0E07"/>
    <w:rsid w:val="002E16E5"/>
    <w:rsid w:val="002F6454"/>
    <w:rsid w:val="00316B7E"/>
    <w:rsid w:val="003227DD"/>
    <w:rsid w:val="003232F1"/>
    <w:rsid w:val="00326D40"/>
    <w:rsid w:val="0033510E"/>
    <w:rsid w:val="00340033"/>
    <w:rsid w:val="003569E0"/>
    <w:rsid w:val="00370415"/>
    <w:rsid w:val="00377A40"/>
    <w:rsid w:val="003800E5"/>
    <w:rsid w:val="00382A17"/>
    <w:rsid w:val="00382C21"/>
    <w:rsid w:val="00386C6E"/>
    <w:rsid w:val="00390024"/>
    <w:rsid w:val="00391330"/>
    <w:rsid w:val="00397B39"/>
    <w:rsid w:val="003B43B7"/>
    <w:rsid w:val="003B66F0"/>
    <w:rsid w:val="003D7B56"/>
    <w:rsid w:val="003E026E"/>
    <w:rsid w:val="003E1712"/>
    <w:rsid w:val="003E1ACE"/>
    <w:rsid w:val="003E33A4"/>
    <w:rsid w:val="003F057E"/>
    <w:rsid w:val="003F0EB4"/>
    <w:rsid w:val="004008FA"/>
    <w:rsid w:val="00404CB2"/>
    <w:rsid w:val="00406F9D"/>
    <w:rsid w:val="00415066"/>
    <w:rsid w:val="00417639"/>
    <w:rsid w:val="004235EB"/>
    <w:rsid w:val="00453BFC"/>
    <w:rsid w:val="004662BE"/>
    <w:rsid w:val="004667A9"/>
    <w:rsid w:val="00470E8A"/>
    <w:rsid w:val="00473B8A"/>
    <w:rsid w:val="00481443"/>
    <w:rsid w:val="004844F6"/>
    <w:rsid w:val="00496B78"/>
    <w:rsid w:val="004B290B"/>
    <w:rsid w:val="004B2AE9"/>
    <w:rsid w:val="004B3701"/>
    <w:rsid w:val="004B530D"/>
    <w:rsid w:val="004D458E"/>
    <w:rsid w:val="004E25C2"/>
    <w:rsid w:val="004E6436"/>
    <w:rsid w:val="004E6A6D"/>
    <w:rsid w:val="005047BB"/>
    <w:rsid w:val="0052124A"/>
    <w:rsid w:val="00541070"/>
    <w:rsid w:val="00541E3E"/>
    <w:rsid w:val="00544E67"/>
    <w:rsid w:val="005456AD"/>
    <w:rsid w:val="00547F41"/>
    <w:rsid w:val="00555176"/>
    <w:rsid w:val="00557237"/>
    <w:rsid w:val="00560420"/>
    <w:rsid w:val="005663F1"/>
    <w:rsid w:val="005667E5"/>
    <w:rsid w:val="0056699D"/>
    <w:rsid w:val="005749F1"/>
    <w:rsid w:val="00577E6C"/>
    <w:rsid w:val="00580FBF"/>
    <w:rsid w:val="00585AF0"/>
    <w:rsid w:val="00586B5C"/>
    <w:rsid w:val="00590041"/>
    <w:rsid w:val="00593AB4"/>
    <w:rsid w:val="0059766B"/>
    <w:rsid w:val="005A6353"/>
    <w:rsid w:val="005B2142"/>
    <w:rsid w:val="005B7242"/>
    <w:rsid w:val="005D0014"/>
    <w:rsid w:val="005D2875"/>
    <w:rsid w:val="005D6F11"/>
    <w:rsid w:val="005E0C35"/>
    <w:rsid w:val="00602A59"/>
    <w:rsid w:val="00606D07"/>
    <w:rsid w:val="00607889"/>
    <w:rsid w:val="0061444C"/>
    <w:rsid w:val="00627292"/>
    <w:rsid w:val="006412E3"/>
    <w:rsid w:val="00646F68"/>
    <w:rsid w:val="00647EFF"/>
    <w:rsid w:val="00654B29"/>
    <w:rsid w:val="00671849"/>
    <w:rsid w:val="00673643"/>
    <w:rsid w:val="00677995"/>
    <w:rsid w:val="00694E29"/>
    <w:rsid w:val="00695B43"/>
    <w:rsid w:val="006A2F28"/>
    <w:rsid w:val="006A683B"/>
    <w:rsid w:val="006D07E1"/>
    <w:rsid w:val="006E45E2"/>
    <w:rsid w:val="006F1CA3"/>
    <w:rsid w:val="00700E48"/>
    <w:rsid w:val="007073B8"/>
    <w:rsid w:val="00717ED3"/>
    <w:rsid w:val="00725C20"/>
    <w:rsid w:val="007351BF"/>
    <w:rsid w:val="00735EBE"/>
    <w:rsid w:val="00737F5E"/>
    <w:rsid w:val="007460AE"/>
    <w:rsid w:val="007513E2"/>
    <w:rsid w:val="00753FF0"/>
    <w:rsid w:val="00773FE8"/>
    <w:rsid w:val="00786072"/>
    <w:rsid w:val="0079199C"/>
    <w:rsid w:val="007A4910"/>
    <w:rsid w:val="007B7EBB"/>
    <w:rsid w:val="007C2822"/>
    <w:rsid w:val="007C5057"/>
    <w:rsid w:val="007C5B7B"/>
    <w:rsid w:val="007F26F2"/>
    <w:rsid w:val="0080091A"/>
    <w:rsid w:val="00802D46"/>
    <w:rsid w:val="00812623"/>
    <w:rsid w:val="00823098"/>
    <w:rsid w:val="00823EE8"/>
    <w:rsid w:val="00831C9F"/>
    <w:rsid w:val="00833B85"/>
    <w:rsid w:val="00837932"/>
    <w:rsid w:val="00840939"/>
    <w:rsid w:val="008567B2"/>
    <w:rsid w:val="00872B7D"/>
    <w:rsid w:val="00873252"/>
    <w:rsid w:val="00883827"/>
    <w:rsid w:val="008839C5"/>
    <w:rsid w:val="00884044"/>
    <w:rsid w:val="00885554"/>
    <w:rsid w:val="008A4C30"/>
    <w:rsid w:val="008C13D6"/>
    <w:rsid w:val="008C1B5E"/>
    <w:rsid w:val="008C3814"/>
    <w:rsid w:val="008C6D20"/>
    <w:rsid w:val="008D2119"/>
    <w:rsid w:val="008D40B1"/>
    <w:rsid w:val="008D4FA9"/>
    <w:rsid w:val="008D6DF9"/>
    <w:rsid w:val="008E640F"/>
    <w:rsid w:val="008F633A"/>
    <w:rsid w:val="00901632"/>
    <w:rsid w:val="00904B7E"/>
    <w:rsid w:val="00926901"/>
    <w:rsid w:val="00934C25"/>
    <w:rsid w:val="009357D4"/>
    <w:rsid w:val="009428E0"/>
    <w:rsid w:val="0095182C"/>
    <w:rsid w:val="009619F0"/>
    <w:rsid w:val="009A3490"/>
    <w:rsid w:val="009C46F0"/>
    <w:rsid w:val="009D0EB8"/>
    <w:rsid w:val="009D3E0A"/>
    <w:rsid w:val="009D500F"/>
    <w:rsid w:val="009E33B3"/>
    <w:rsid w:val="009E5CEA"/>
    <w:rsid w:val="009E6576"/>
    <w:rsid w:val="00A01E50"/>
    <w:rsid w:val="00A03046"/>
    <w:rsid w:val="00A055BB"/>
    <w:rsid w:val="00A05F03"/>
    <w:rsid w:val="00A06303"/>
    <w:rsid w:val="00A06B41"/>
    <w:rsid w:val="00A151E6"/>
    <w:rsid w:val="00A2232D"/>
    <w:rsid w:val="00A42BEE"/>
    <w:rsid w:val="00A605BF"/>
    <w:rsid w:val="00A62561"/>
    <w:rsid w:val="00A72DF5"/>
    <w:rsid w:val="00A9340B"/>
    <w:rsid w:val="00AA1C3A"/>
    <w:rsid w:val="00AB1B37"/>
    <w:rsid w:val="00AB3F41"/>
    <w:rsid w:val="00AC214B"/>
    <w:rsid w:val="00AC22B9"/>
    <w:rsid w:val="00AE0A85"/>
    <w:rsid w:val="00AE747C"/>
    <w:rsid w:val="00AF4F17"/>
    <w:rsid w:val="00B16ED1"/>
    <w:rsid w:val="00B266A6"/>
    <w:rsid w:val="00B34EC0"/>
    <w:rsid w:val="00B76FD1"/>
    <w:rsid w:val="00B919CC"/>
    <w:rsid w:val="00B9362F"/>
    <w:rsid w:val="00BA135E"/>
    <w:rsid w:val="00BB1267"/>
    <w:rsid w:val="00BB548D"/>
    <w:rsid w:val="00BC5EE5"/>
    <w:rsid w:val="00BC74B9"/>
    <w:rsid w:val="00BD2A3B"/>
    <w:rsid w:val="00BD32E5"/>
    <w:rsid w:val="00BE6864"/>
    <w:rsid w:val="00C0789A"/>
    <w:rsid w:val="00C10FB4"/>
    <w:rsid w:val="00C11F79"/>
    <w:rsid w:val="00C2487F"/>
    <w:rsid w:val="00C26503"/>
    <w:rsid w:val="00C31BFD"/>
    <w:rsid w:val="00C3625F"/>
    <w:rsid w:val="00C3690C"/>
    <w:rsid w:val="00C36B32"/>
    <w:rsid w:val="00C41C1B"/>
    <w:rsid w:val="00C60BEE"/>
    <w:rsid w:val="00C636C8"/>
    <w:rsid w:val="00C64FFD"/>
    <w:rsid w:val="00C71C8B"/>
    <w:rsid w:val="00C75952"/>
    <w:rsid w:val="00C9485B"/>
    <w:rsid w:val="00CA1E44"/>
    <w:rsid w:val="00CA63A2"/>
    <w:rsid w:val="00CD41BF"/>
    <w:rsid w:val="00CE4BF2"/>
    <w:rsid w:val="00D02C03"/>
    <w:rsid w:val="00D13121"/>
    <w:rsid w:val="00D14D10"/>
    <w:rsid w:val="00D218FA"/>
    <w:rsid w:val="00D22DEF"/>
    <w:rsid w:val="00D4163A"/>
    <w:rsid w:val="00D51BCE"/>
    <w:rsid w:val="00D70620"/>
    <w:rsid w:val="00D70BF4"/>
    <w:rsid w:val="00D75A10"/>
    <w:rsid w:val="00D77F96"/>
    <w:rsid w:val="00D83CA5"/>
    <w:rsid w:val="00D906BD"/>
    <w:rsid w:val="00D939F5"/>
    <w:rsid w:val="00DA75FF"/>
    <w:rsid w:val="00DA7D7D"/>
    <w:rsid w:val="00DC4FD1"/>
    <w:rsid w:val="00DC773A"/>
    <w:rsid w:val="00DD3635"/>
    <w:rsid w:val="00DE114C"/>
    <w:rsid w:val="00DE20F1"/>
    <w:rsid w:val="00DE549A"/>
    <w:rsid w:val="00DE7DE3"/>
    <w:rsid w:val="00DF066E"/>
    <w:rsid w:val="00DF2ADF"/>
    <w:rsid w:val="00E01C6D"/>
    <w:rsid w:val="00E0301B"/>
    <w:rsid w:val="00E04432"/>
    <w:rsid w:val="00E577D9"/>
    <w:rsid w:val="00E615B3"/>
    <w:rsid w:val="00E66BAC"/>
    <w:rsid w:val="00E75E2B"/>
    <w:rsid w:val="00E86E17"/>
    <w:rsid w:val="00E87B1E"/>
    <w:rsid w:val="00EA0A14"/>
    <w:rsid w:val="00EA64D5"/>
    <w:rsid w:val="00EC211F"/>
    <w:rsid w:val="00EC2A71"/>
    <w:rsid w:val="00ED347E"/>
    <w:rsid w:val="00ED5520"/>
    <w:rsid w:val="00EE5DF7"/>
    <w:rsid w:val="00EE67B4"/>
    <w:rsid w:val="00EF27B3"/>
    <w:rsid w:val="00F11483"/>
    <w:rsid w:val="00F15F15"/>
    <w:rsid w:val="00F450CA"/>
    <w:rsid w:val="00F56635"/>
    <w:rsid w:val="00F6763A"/>
    <w:rsid w:val="00F747BF"/>
    <w:rsid w:val="00F808D1"/>
    <w:rsid w:val="00F80DB1"/>
    <w:rsid w:val="00F90AFC"/>
    <w:rsid w:val="00F91C97"/>
    <w:rsid w:val="00F93907"/>
    <w:rsid w:val="00FB7876"/>
    <w:rsid w:val="00FC3C0D"/>
    <w:rsid w:val="00FC5248"/>
    <w:rsid w:val="00FE316D"/>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877167"/>
  <w15:chartTrackingRefBased/>
  <w15:docId w15:val="{591F2A98-C2B3-41C4-9C12-90ED73B5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1D24"/>
    <w:pPr>
      <w:widowControl w:val="0"/>
      <w:spacing w:before="120"/>
      <w:jc w:val="both"/>
    </w:pPr>
    <w:rPr>
      <w:rFonts w:asciiTheme="minorHAnsi" w:hAnsiTheme="minorHAnsi"/>
      <w:szCs w:val="24"/>
    </w:rPr>
  </w:style>
  <w:style w:type="paragraph" w:styleId="Heading1">
    <w:name w:val="heading 1"/>
    <w:basedOn w:val="Normal"/>
    <w:next w:val="Normal"/>
    <w:qFormat/>
    <w:rsid w:val="009D500F"/>
    <w:pPr>
      <w:keepNext/>
      <w:numPr>
        <w:numId w:val="1"/>
      </w:numPr>
      <w:spacing w:before="200"/>
      <w:outlineLvl w:val="0"/>
    </w:pPr>
    <w:rPr>
      <w:rFonts w:cstheme="minorHAnsi"/>
      <w:b/>
      <w:bCs/>
      <w:caps/>
      <w:color w:val="00708E"/>
      <w:sz w:val="24"/>
    </w:rPr>
  </w:style>
  <w:style w:type="paragraph" w:styleId="Heading2">
    <w:name w:val="heading 2"/>
    <w:basedOn w:val="Normal"/>
    <w:next w:val="Normal"/>
    <w:qFormat/>
    <w:rsid w:val="009D500F"/>
    <w:pPr>
      <w:keepNext/>
      <w:numPr>
        <w:ilvl w:val="1"/>
        <w:numId w:val="1"/>
      </w:numPr>
      <w:outlineLvl w:val="1"/>
    </w:pPr>
    <w:rPr>
      <w:rFonts w:cstheme="minorHAnsi"/>
      <w:b/>
      <w:bCs/>
      <w:color w:val="00B6CF"/>
      <w:sz w:val="24"/>
      <w:szCs w:val="28"/>
    </w:rPr>
  </w:style>
  <w:style w:type="paragraph" w:styleId="Heading3">
    <w:name w:val="heading 3"/>
    <w:basedOn w:val="Normal"/>
    <w:next w:val="Normal"/>
    <w:qFormat/>
    <w:rsid w:val="009D500F"/>
    <w:pPr>
      <w:keepNext/>
      <w:numPr>
        <w:ilvl w:val="2"/>
        <w:numId w:val="1"/>
      </w:numPr>
      <w:outlineLvl w:val="2"/>
    </w:pPr>
    <w:rPr>
      <w:rFonts w:cstheme="minorHAnsi"/>
      <w:b/>
      <w:bCs/>
      <w:i/>
      <w:color w:val="CF007F"/>
      <w:szCs w:val="26"/>
    </w:rPr>
  </w:style>
  <w:style w:type="paragraph" w:styleId="Heading4">
    <w:name w:val="heading 4"/>
    <w:basedOn w:val="Normal"/>
    <w:next w:val="Normal"/>
    <w:pPr>
      <w:keepNext/>
      <w:numPr>
        <w:ilvl w:val="3"/>
        <w:numId w:val="1"/>
      </w:numPr>
      <w:spacing w:before="240" w:after="60"/>
      <w:outlineLvl w:val="3"/>
    </w:pPr>
    <w:rPr>
      <w:rFonts w:ascii="Times New Roman" w:hAnsi="Times New Roman"/>
      <w:b/>
      <w:bCs/>
      <w:sz w:val="28"/>
      <w:szCs w:val="28"/>
    </w:rPr>
  </w:style>
  <w:style w:type="paragraph" w:styleId="Heading5">
    <w:name w:val="heading 5"/>
    <w:basedOn w:val="Normal"/>
    <w:next w:val="Normal"/>
    <w:pPr>
      <w:numPr>
        <w:ilvl w:val="4"/>
        <w:numId w:val="1"/>
      </w:numPr>
      <w:spacing w:before="240" w:after="60"/>
      <w:outlineLvl w:val="4"/>
    </w:pPr>
    <w:rPr>
      <w:b/>
      <w:bCs/>
      <w:i/>
      <w:iCs/>
      <w:sz w:val="26"/>
      <w:szCs w:val="26"/>
    </w:rPr>
  </w:style>
  <w:style w:type="paragraph" w:styleId="Heading6">
    <w:name w:val="heading 6"/>
    <w:basedOn w:val="Normal"/>
    <w:next w:val="Normal"/>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pPr>
      <w:numPr>
        <w:ilvl w:val="6"/>
        <w:numId w:val="1"/>
      </w:numPr>
      <w:spacing w:before="240" w:after="60"/>
      <w:outlineLvl w:val="6"/>
    </w:pPr>
    <w:rPr>
      <w:rFonts w:ascii="Times New Roman" w:hAnsi="Times New Roman"/>
      <w:sz w:val="24"/>
    </w:rPr>
  </w:style>
  <w:style w:type="paragraph" w:styleId="Heading8">
    <w:name w:val="heading 8"/>
    <w:basedOn w:val="Normal"/>
    <w:next w:val="Normal"/>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pPr>
      <w:numPr>
        <w:ilvl w:val="8"/>
        <w:numId w:val="1"/>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Emphasis">
    <w:name w:val="Emphasis"/>
    <w:uiPriority w:val="20"/>
    <w:rsid w:val="00DE20F1"/>
    <w:rPr>
      <w:i/>
      <w:iCs/>
    </w:rPr>
  </w:style>
  <w:style w:type="paragraph" w:customStyle="1" w:styleId="Normaltiret">
    <w:name w:val="Normaltiret"/>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Footer">
    <w:name w:val="footer"/>
    <w:basedOn w:val="Normal"/>
    <w:semiHidden/>
    <w:pPr>
      <w:tabs>
        <w:tab w:val="center" w:pos="4536"/>
        <w:tab w:val="right" w:pos="9072"/>
      </w:tabs>
    </w:pPr>
  </w:style>
  <w:style w:type="paragraph" w:styleId="Title">
    <w:name w:val="Title"/>
    <w:basedOn w:val="0TitleTitre"/>
    <w:next w:val="Normal"/>
    <w:link w:val="TitleChar"/>
    <w:uiPriority w:val="10"/>
    <w:qFormat/>
    <w:rsid w:val="008839C5"/>
    <w:pPr>
      <w:ind w:left="0"/>
    </w:pPr>
    <w:rPr>
      <w:sz w:val="24"/>
    </w:rPr>
  </w:style>
  <w:style w:type="paragraph" w:customStyle="1" w:styleId="titreanx">
    <w:name w:val="titreanx"/>
    <w:basedOn w:val="Heading1"/>
    <w:rsid w:val="00406F9D"/>
    <w:pPr>
      <w:numPr>
        <w:numId w:val="0"/>
      </w:numPr>
    </w:pPr>
    <w:rPr>
      <w:rFonts w:ascii="Arial" w:hAnsi="Arial"/>
    </w:rPr>
  </w:style>
  <w:style w:type="character" w:customStyle="1" w:styleId="TitleChar">
    <w:name w:val="Title Char"/>
    <w:link w:val="Title"/>
    <w:uiPriority w:val="10"/>
    <w:rsid w:val="008839C5"/>
    <w:rPr>
      <w:rFonts w:ascii="Arial" w:hAnsi="Arial" w:cs="Arial"/>
      <w:b/>
      <w:bCs/>
      <w:sz w:val="24"/>
      <w:szCs w:val="24"/>
    </w:rPr>
  </w:style>
  <w:style w:type="paragraph" w:styleId="Subtitle">
    <w:name w:val="Subtitle"/>
    <w:basedOn w:val="1Translation"/>
    <w:next w:val="Normal"/>
    <w:link w:val="SubtitleChar"/>
    <w:uiPriority w:val="11"/>
    <w:rsid w:val="0019193B"/>
    <w:pPr>
      <w:spacing w:after="120"/>
      <w:ind w:left="2835"/>
    </w:pPr>
    <w:rPr>
      <w:sz w:val="24"/>
    </w:rPr>
  </w:style>
  <w:style w:type="character" w:customStyle="1" w:styleId="SubtitleChar">
    <w:name w:val="Subtitle Char"/>
    <w:link w:val="Subtitle"/>
    <w:uiPriority w:val="11"/>
    <w:rsid w:val="0019193B"/>
    <w:rPr>
      <w:rFonts w:ascii="Arial" w:hAnsi="Arial"/>
      <w:sz w:val="24"/>
      <w:szCs w:val="24"/>
      <w:lang w:val="en-GB"/>
    </w:rPr>
  </w:style>
  <w:style w:type="paragraph" w:customStyle="1" w:styleId="en-tte">
    <w:name w:val="en-tête"/>
    <w:basedOn w:val="Normal"/>
    <w:link w:val="en-tteCar"/>
    <w:qFormat/>
    <w:rsid w:val="00406F9D"/>
    <w:pPr>
      <w:pBdr>
        <w:bottom w:val="single" w:sz="2" w:space="1" w:color="auto"/>
      </w:pBdr>
      <w:ind w:left="284" w:hanging="284"/>
      <w:jc w:val="right"/>
    </w:pPr>
    <w:rPr>
      <w:sz w:val="16"/>
    </w:rPr>
  </w:style>
  <w:style w:type="character" w:styleId="SubtleEmphasis">
    <w:name w:val="Subtle Emphasis"/>
    <w:uiPriority w:val="19"/>
    <w:rsid w:val="00DE20F1"/>
    <w:rPr>
      <w:rFonts w:ascii="Calibri" w:hAnsi="Calibri"/>
      <w:color w:val="548DD4"/>
    </w:rPr>
  </w:style>
  <w:style w:type="character" w:styleId="IntenseReferenc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
    <w:name w:val="en-tête Car"/>
    <w:link w:val="en-tte"/>
    <w:rsid w:val="00406F9D"/>
    <w:rPr>
      <w:rFonts w:ascii="Arial" w:hAnsi="Arial"/>
      <w:sz w:val="16"/>
      <w:szCs w:val="24"/>
    </w:rPr>
  </w:style>
  <w:style w:type="character" w:styleId="CommentReferenc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Text">
    <w:name w:val="annotation text"/>
    <w:basedOn w:val="Normal"/>
    <w:link w:val="CommentTextChar"/>
    <w:uiPriority w:val="99"/>
    <w:unhideWhenUsed/>
    <w:rsid w:val="007B7EBB"/>
    <w:rPr>
      <w:szCs w:val="20"/>
    </w:rPr>
  </w:style>
  <w:style w:type="character" w:customStyle="1" w:styleId="CommentTextChar">
    <w:name w:val="Comment Text Char"/>
    <w:link w:val="CommentText"/>
    <w:uiPriority w:val="99"/>
    <w:rsid w:val="007B7EBB"/>
    <w:rPr>
      <w:rFonts w:ascii="Arial" w:hAnsi="Arial"/>
    </w:rPr>
  </w:style>
  <w:style w:type="paragraph" w:styleId="CommentSubject">
    <w:name w:val="annotation subject"/>
    <w:basedOn w:val="CommentText"/>
    <w:next w:val="CommentText"/>
    <w:link w:val="CommentSubjectChar"/>
    <w:uiPriority w:val="99"/>
    <w:semiHidden/>
    <w:unhideWhenUsed/>
    <w:rsid w:val="007B7EBB"/>
    <w:rPr>
      <w:b/>
      <w:bCs/>
    </w:rPr>
  </w:style>
  <w:style w:type="character" w:customStyle="1" w:styleId="CommentSubjectChar">
    <w:name w:val="Comment Subject Char"/>
    <w:link w:val="CommentSubject"/>
    <w:uiPriority w:val="99"/>
    <w:semiHidden/>
    <w:rsid w:val="007B7EBB"/>
    <w:rPr>
      <w:rFonts w:ascii="Arial" w:hAnsi="Arial"/>
      <w:b/>
      <w:bCs/>
    </w:rPr>
  </w:style>
  <w:style w:type="paragraph" w:styleId="BalloonText">
    <w:name w:val="Balloon Text"/>
    <w:basedOn w:val="Normal"/>
    <w:link w:val="BalloonTextChar"/>
    <w:uiPriority w:val="99"/>
    <w:semiHidden/>
    <w:unhideWhenUsed/>
    <w:rsid w:val="007B7EBB"/>
    <w:pPr>
      <w:spacing w:before="0"/>
    </w:pPr>
    <w:rPr>
      <w:rFonts w:ascii="Tahoma" w:hAnsi="Tahoma" w:cs="Tahoma"/>
      <w:sz w:val="16"/>
      <w:szCs w:val="16"/>
    </w:rPr>
  </w:style>
  <w:style w:type="character" w:customStyle="1" w:styleId="BalloonTextChar">
    <w:name w:val="Balloon Text Char"/>
    <w:link w:val="BalloonText"/>
    <w:uiPriority w:val="99"/>
    <w:semiHidden/>
    <w:rsid w:val="007B7EBB"/>
    <w:rPr>
      <w:rFonts w:ascii="Tahoma" w:hAnsi="Tahoma" w:cs="Tahoma"/>
      <w:sz w:val="16"/>
      <w:szCs w:val="16"/>
    </w:rPr>
  </w:style>
  <w:style w:type="character" w:styleId="Hyperlink">
    <w:name w:val="Hyperlink"/>
    <w:basedOn w:val="DefaultParagraphFont"/>
    <w:uiPriority w:val="99"/>
    <w:unhideWhenUsed/>
    <w:rsid w:val="00AE747C"/>
    <w:rPr>
      <w:color w:val="0563C1" w:themeColor="hyperlink"/>
      <w:u w:val="single"/>
    </w:rPr>
  </w:style>
  <w:style w:type="character" w:styleId="UnresolvedMention">
    <w:name w:val="Unresolved Mention"/>
    <w:basedOn w:val="DefaultParagraphFont"/>
    <w:uiPriority w:val="99"/>
    <w:semiHidden/>
    <w:unhideWhenUsed/>
    <w:rsid w:val="00AE747C"/>
    <w:rPr>
      <w:color w:val="605E5C"/>
      <w:shd w:val="clear" w:color="auto" w:fill="E1DFDD"/>
    </w:rPr>
  </w:style>
  <w:style w:type="paragraph" w:styleId="NormalWeb">
    <w:name w:val="Normal (Web)"/>
    <w:basedOn w:val="Normal"/>
    <w:uiPriority w:val="99"/>
    <w:semiHidden/>
    <w:unhideWhenUsed/>
    <w:rsid w:val="007351BF"/>
    <w:rPr>
      <w:rFonts w:ascii="Times New Roman" w:hAnsi="Times New Roman"/>
      <w:sz w:val="24"/>
    </w:rPr>
  </w:style>
  <w:style w:type="paragraph" w:styleId="Revision">
    <w:name w:val="Revision"/>
    <w:hidden/>
    <w:uiPriority w:val="99"/>
    <w:semiHidden/>
    <w:rsid w:val="009E5CEA"/>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9972">
      <w:bodyDiv w:val="1"/>
      <w:marLeft w:val="0"/>
      <w:marRight w:val="0"/>
      <w:marTop w:val="0"/>
      <w:marBottom w:val="0"/>
      <w:divBdr>
        <w:top w:val="none" w:sz="0" w:space="0" w:color="auto"/>
        <w:left w:val="none" w:sz="0" w:space="0" w:color="auto"/>
        <w:bottom w:val="none" w:sz="0" w:space="0" w:color="auto"/>
        <w:right w:val="none" w:sz="0" w:space="0" w:color="auto"/>
      </w:divBdr>
    </w:div>
    <w:div w:id="28265062">
      <w:bodyDiv w:val="1"/>
      <w:marLeft w:val="0"/>
      <w:marRight w:val="0"/>
      <w:marTop w:val="0"/>
      <w:marBottom w:val="0"/>
      <w:divBdr>
        <w:top w:val="none" w:sz="0" w:space="0" w:color="auto"/>
        <w:left w:val="none" w:sz="0" w:space="0" w:color="auto"/>
        <w:bottom w:val="none" w:sz="0" w:space="0" w:color="auto"/>
        <w:right w:val="none" w:sz="0" w:space="0" w:color="auto"/>
      </w:divBdr>
    </w:div>
    <w:div w:id="352848776">
      <w:bodyDiv w:val="1"/>
      <w:marLeft w:val="0"/>
      <w:marRight w:val="0"/>
      <w:marTop w:val="0"/>
      <w:marBottom w:val="0"/>
      <w:divBdr>
        <w:top w:val="none" w:sz="0" w:space="0" w:color="auto"/>
        <w:left w:val="none" w:sz="0" w:space="0" w:color="auto"/>
        <w:bottom w:val="none" w:sz="0" w:space="0" w:color="auto"/>
        <w:right w:val="none" w:sz="0" w:space="0" w:color="auto"/>
      </w:divBdr>
    </w:div>
    <w:div w:id="770509998">
      <w:bodyDiv w:val="1"/>
      <w:marLeft w:val="0"/>
      <w:marRight w:val="0"/>
      <w:marTop w:val="0"/>
      <w:marBottom w:val="0"/>
      <w:divBdr>
        <w:top w:val="none" w:sz="0" w:space="0" w:color="auto"/>
        <w:left w:val="none" w:sz="0" w:space="0" w:color="auto"/>
        <w:bottom w:val="none" w:sz="0" w:space="0" w:color="auto"/>
        <w:right w:val="none" w:sz="0" w:space="0" w:color="auto"/>
      </w:divBdr>
    </w:div>
    <w:div w:id="996690399">
      <w:bodyDiv w:val="1"/>
      <w:marLeft w:val="0"/>
      <w:marRight w:val="0"/>
      <w:marTop w:val="0"/>
      <w:marBottom w:val="0"/>
      <w:divBdr>
        <w:top w:val="none" w:sz="0" w:space="0" w:color="auto"/>
        <w:left w:val="none" w:sz="0" w:space="0" w:color="auto"/>
        <w:bottom w:val="none" w:sz="0" w:space="0" w:color="auto"/>
        <w:right w:val="none" w:sz="0" w:space="0" w:color="auto"/>
      </w:divBdr>
    </w:div>
    <w:div w:id="1054160505">
      <w:bodyDiv w:val="1"/>
      <w:marLeft w:val="0"/>
      <w:marRight w:val="0"/>
      <w:marTop w:val="0"/>
      <w:marBottom w:val="0"/>
      <w:divBdr>
        <w:top w:val="none" w:sz="0" w:space="0" w:color="auto"/>
        <w:left w:val="none" w:sz="0" w:space="0" w:color="auto"/>
        <w:bottom w:val="none" w:sz="0" w:space="0" w:color="auto"/>
        <w:right w:val="none" w:sz="0" w:space="0" w:color="auto"/>
      </w:divBdr>
    </w:div>
    <w:div w:id="1087194381">
      <w:bodyDiv w:val="1"/>
      <w:marLeft w:val="0"/>
      <w:marRight w:val="0"/>
      <w:marTop w:val="0"/>
      <w:marBottom w:val="0"/>
      <w:divBdr>
        <w:top w:val="none" w:sz="0" w:space="0" w:color="auto"/>
        <w:left w:val="none" w:sz="0" w:space="0" w:color="auto"/>
        <w:bottom w:val="none" w:sz="0" w:space="0" w:color="auto"/>
        <w:right w:val="none" w:sz="0" w:space="0" w:color="auto"/>
      </w:divBdr>
    </w:div>
    <w:div w:id="1178228285">
      <w:bodyDiv w:val="1"/>
      <w:marLeft w:val="0"/>
      <w:marRight w:val="0"/>
      <w:marTop w:val="0"/>
      <w:marBottom w:val="0"/>
      <w:divBdr>
        <w:top w:val="none" w:sz="0" w:space="0" w:color="auto"/>
        <w:left w:val="none" w:sz="0" w:space="0" w:color="auto"/>
        <w:bottom w:val="none" w:sz="0" w:space="0" w:color="auto"/>
        <w:right w:val="none" w:sz="0" w:space="0" w:color="auto"/>
      </w:divBdr>
      <w:divsChild>
        <w:div w:id="1361935291">
          <w:marLeft w:val="0"/>
          <w:marRight w:val="0"/>
          <w:marTop w:val="0"/>
          <w:marBottom w:val="0"/>
          <w:divBdr>
            <w:top w:val="none" w:sz="0" w:space="0" w:color="auto"/>
            <w:left w:val="none" w:sz="0" w:space="0" w:color="auto"/>
            <w:bottom w:val="none" w:sz="0" w:space="0" w:color="auto"/>
            <w:right w:val="none" w:sz="0" w:space="0" w:color="auto"/>
          </w:divBdr>
        </w:div>
        <w:div w:id="1760253919">
          <w:marLeft w:val="0"/>
          <w:marRight w:val="0"/>
          <w:marTop w:val="0"/>
          <w:marBottom w:val="0"/>
          <w:divBdr>
            <w:top w:val="none" w:sz="0" w:space="0" w:color="auto"/>
            <w:left w:val="none" w:sz="0" w:space="0" w:color="auto"/>
            <w:bottom w:val="none" w:sz="0" w:space="0" w:color="auto"/>
            <w:right w:val="none" w:sz="0" w:space="0" w:color="auto"/>
          </w:divBdr>
        </w:div>
        <w:div w:id="599990850">
          <w:marLeft w:val="0"/>
          <w:marRight w:val="0"/>
          <w:marTop w:val="0"/>
          <w:marBottom w:val="0"/>
          <w:divBdr>
            <w:top w:val="none" w:sz="0" w:space="0" w:color="auto"/>
            <w:left w:val="none" w:sz="0" w:space="0" w:color="auto"/>
            <w:bottom w:val="none" w:sz="0" w:space="0" w:color="auto"/>
            <w:right w:val="none" w:sz="0" w:space="0" w:color="auto"/>
          </w:divBdr>
        </w:div>
        <w:div w:id="1026256323">
          <w:marLeft w:val="0"/>
          <w:marRight w:val="0"/>
          <w:marTop w:val="0"/>
          <w:marBottom w:val="0"/>
          <w:divBdr>
            <w:top w:val="none" w:sz="0" w:space="0" w:color="auto"/>
            <w:left w:val="none" w:sz="0" w:space="0" w:color="auto"/>
            <w:bottom w:val="none" w:sz="0" w:space="0" w:color="auto"/>
            <w:right w:val="none" w:sz="0" w:space="0" w:color="auto"/>
          </w:divBdr>
        </w:div>
        <w:div w:id="1835144325">
          <w:marLeft w:val="0"/>
          <w:marRight w:val="0"/>
          <w:marTop w:val="0"/>
          <w:marBottom w:val="0"/>
          <w:divBdr>
            <w:top w:val="none" w:sz="0" w:space="0" w:color="auto"/>
            <w:left w:val="none" w:sz="0" w:space="0" w:color="auto"/>
            <w:bottom w:val="none" w:sz="0" w:space="0" w:color="auto"/>
            <w:right w:val="none" w:sz="0" w:space="0" w:color="auto"/>
          </w:divBdr>
        </w:div>
      </w:divsChild>
    </w:div>
    <w:div w:id="1232276139">
      <w:bodyDiv w:val="1"/>
      <w:marLeft w:val="0"/>
      <w:marRight w:val="0"/>
      <w:marTop w:val="0"/>
      <w:marBottom w:val="0"/>
      <w:divBdr>
        <w:top w:val="none" w:sz="0" w:space="0" w:color="auto"/>
        <w:left w:val="none" w:sz="0" w:space="0" w:color="auto"/>
        <w:bottom w:val="none" w:sz="0" w:space="0" w:color="auto"/>
        <w:right w:val="none" w:sz="0" w:space="0" w:color="auto"/>
      </w:divBdr>
    </w:div>
    <w:div w:id="1276450200">
      <w:bodyDiv w:val="1"/>
      <w:marLeft w:val="0"/>
      <w:marRight w:val="0"/>
      <w:marTop w:val="0"/>
      <w:marBottom w:val="0"/>
      <w:divBdr>
        <w:top w:val="none" w:sz="0" w:space="0" w:color="auto"/>
        <w:left w:val="none" w:sz="0" w:space="0" w:color="auto"/>
        <w:bottom w:val="none" w:sz="0" w:space="0" w:color="auto"/>
        <w:right w:val="none" w:sz="0" w:space="0" w:color="auto"/>
      </w:divBdr>
    </w:div>
    <w:div w:id="1357316704">
      <w:bodyDiv w:val="1"/>
      <w:marLeft w:val="0"/>
      <w:marRight w:val="0"/>
      <w:marTop w:val="0"/>
      <w:marBottom w:val="0"/>
      <w:divBdr>
        <w:top w:val="none" w:sz="0" w:space="0" w:color="auto"/>
        <w:left w:val="none" w:sz="0" w:space="0" w:color="auto"/>
        <w:bottom w:val="none" w:sz="0" w:space="0" w:color="auto"/>
        <w:right w:val="none" w:sz="0" w:space="0" w:color="auto"/>
      </w:divBdr>
    </w:div>
    <w:div w:id="1560437110">
      <w:bodyDiv w:val="1"/>
      <w:marLeft w:val="0"/>
      <w:marRight w:val="0"/>
      <w:marTop w:val="0"/>
      <w:marBottom w:val="0"/>
      <w:divBdr>
        <w:top w:val="none" w:sz="0" w:space="0" w:color="auto"/>
        <w:left w:val="none" w:sz="0" w:space="0" w:color="auto"/>
        <w:bottom w:val="none" w:sz="0" w:space="0" w:color="auto"/>
        <w:right w:val="none" w:sz="0" w:space="0" w:color="auto"/>
      </w:divBdr>
    </w:div>
    <w:div w:id="1583562048">
      <w:bodyDiv w:val="1"/>
      <w:marLeft w:val="0"/>
      <w:marRight w:val="0"/>
      <w:marTop w:val="0"/>
      <w:marBottom w:val="0"/>
      <w:divBdr>
        <w:top w:val="none" w:sz="0" w:space="0" w:color="auto"/>
        <w:left w:val="none" w:sz="0" w:space="0" w:color="auto"/>
        <w:bottom w:val="none" w:sz="0" w:space="0" w:color="auto"/>
        <w:right w:val="none" w:sz="0" w:space="0" w:color="auto"/>
      </w:divBdr>
    </w:div>
    <w:div w:id="1595823947">
      <w:bodyDiv w:val="1"/>
      <w:marLeft w:val="0"/>
      <w:marRight w:val="0"/>
      <w:marTop w:val="0"/>
      <w:marBottom w:val="0"/>
      <w:divBdr>
        <w:top w:val="none" w:sz="0" w:space="0" w:color="auto"/>
        <w:left w:val="none" w:sz="0" w:space="0" w:color="auto"/>
        <w:bottom w:val="none" w:sz="0" w:space="0" w:color="auto"/>
        <w:right w:val="none" w:sz="0" w:space="0" w:color="auto"/>
      </w:divBdr>
    </w:div>
    <w:div w:id="1725637101">
      <w:bodyDiv w:val="1"/>
      <w:marLeft w:val="0"/>
      <w:marRight w:val="0"/>
      <w:marTop w:val="0"/>
      <w:marBottom w:val="0"/>
      <w:divBdr>
        <w:top w:val="none" w:sz="0" w:space="0" w:color="auto"/>
        <w:left w:val="none" w:sz="0" w:space="0" w:color="auto"/>
        <w:bottom w:val="none" w:sz="0" w:space="0" w:color="auto"/>
        <w:right w:val="none" w:sz="0" w:space="0" w:color="auto"/>
      </w:divBdr>
      <w:divsChild>
        <w:div w:id="209193243">
          <w:marLeft w:val="0"/>
          <w:marRight w:val="0"/>
          <w:marTop w:val="0"/>
          <w:marBottom w:val="0"/>
          <w:divBdr>
            <w:top w:val="none" w:sz="0" w:space="0" w:color="auto"/>
            <w:left w:val="none" w:sz="0" w:space="0" w:color="auto"/>
            <w:bottom w:val="none" w:sz="0" w:space="0" w:color="auto"/>
            <w:right w:val="none" w:sz="0" w:space="0" w:color="auto"/>
          </w:divBdr>
        </w:div>
        <w:div w:id="1730306217">
          <w:marLeft w:val="0"/>
          <w:marRight w:val="0"/>
          <w:marTop w:val="0"/>
          <w:marBottom w:val="0"/>
          <w:divBdr>
            <w:top w:val="none" w:sz="0" w:space="0" w:color="auto"/>
            <w:left w:val="none" w:sz="0" w:space="0" w:color="auto"/>
            <w:bottom w:val="none" w:sz="0" w:space="0" w:color="auto"/>
            <w:right w:val="none" w:sz="0" w:space="0" w:color="auto"/>
          </w:divBdr>
        </w:div>
        <w:div w:id="1693264030">
          <w:marLeft w:val="0"/>
          <w:marRight w:val="0"/>
          <w:marTop w:val="0"/>
          <w:marBottom w:val="0"/>
          <w:divBdr>
            <w:top w:val="none" w:sz="0" w:space="0" w:color="auto"/>
            <w:left w:val="none" w:sz="0" w:space="0" w:color="auto"/>
            <w:bottom w:val="none" w:sz="0" w:space="0" w:color="auto"/>
            <w:right w:val="none" w:sz="0" w:space="0" w:color="auto"/>
          </w:divBdr>
        </w:div>
        <w:div w:id="934096923">
          <w:marLeft w:val="0"/>
          <w:marRight w:val="0"/>
          <w:marTop w:val="0"/>
          <w:marBottom w:val="0"/>
          <w:divBdr>
            <w:top w:val="none" w:sz="0" w:space="0" w:color="auto"/>
            <w:left w:val="none" w:sz="0" w:space="0" w:color="auto"/>
            <w:bottom w:val="none" w:sz="0" w:space="0" w:color="auto"/>
            <w:right w:val="none" w:sz="0" w:space="0" w:color="auto"/>
          </w:divBdr>
        </w:div>
        <w:div w:id="281347689">
          <w:marLeft w:val="0"/>
          <w:marRight w:val="0"/>
          <w:marTop w:val="0"/>
          <w:marBottom w:val="0"/>
          <w:divBdr>
            <w:top w:val="none" w:sz="0" w:space="0" w:color="auto"/>
            <w:left w:val="none" w:sz="0" w:space="0" w:color="auto"/>
            <w:bottom w:val="none" w:sz="0" w:space="0" w:color="auto"/>
            <w:right w:val="none" w:sz="0" w:space="0" w:color="auto"/>
          </w:divBdr>
        </w:div>
      </w:divsChild>
    </w:div>
    <w:div w:id="1851601192">
      <w:bodyDiv w:val="1"/>
      <w:marLeft w:val="0"/>
      <w:marRight w:val="0"/>
      <w:marTop w:val="0"/>
      <w:marBottom w:val="0"/>
      <w:divBdr>
        <w:top w:val="none" w:sz="0" w:space="0" w:color="auto"/>
        <w:left w:val="none" w:sz="0" w:space="0" w:color="auto"/>
        <w:bottom w:val="none" w:sz="0" w:space="0" w:color="auto"/>
        <w:right w:val="none" w:sz="0" w:space="0" w:color="auto"/>
      </w:divBdr>
    </w:div>
    <w:div w:id="1908540008">
      <w:bodyDiv w:val="1"/>
      <w:marLeft w:val="0"/>
      <w:marRight w:val="0"/>
      <w:marTop w:val="0"/>
      <w:marBottom w:val="0"/>
      <w:divBdr>
        <w:top w:val="none" w:sz="0" w:space="0" w:color="auto"/>
        <w:left w:val="none" w:sz="0" w:space="0" w:color="auto"/>
        <w:bottom w:val="none" w:sz="0" w:space="0" w:color="auto"/>
        <w:right w:val="none" w:sz="0" w:space="0" w:color="auto"/>
      </w:divBdr>
    </w:div>
    <w:div w:id="2013213037">
      <w:bodyDiv w:val="1"/>
      <w:marLeft w:val="0"/>
      <w:marRight w:val="0"/>
      <w:marTop w:val="0"/>
      <w:marBottom w:val="0"/>
      <w:divBdr>
        <w:top w:val="none" w:sz="0" w:space="0" w:color="auto"/>
        <w:left w:val="none" w:sz="0" w:space="0" w:color="auto"/>
        <w:bottom w:val="none" w:sz="0" w:space="0" w:color="auto"/>
        <w:right w:val="none" w:sz="0" w:space="0" w:color="auto"/>
      </w:divBdr>
    </w:div>
    <w:div w:id="2109812568">
      <w:bodyDiv w:val="1"/>
      <w:marLeft w:val="0"/>
      <w:marRight w:val="0"/>
      <w:marTop w:val="0"/>
      <w:marBottom w:val="0"/>
      <w:divBdr>
        <w:top w:val="none" w:sz="0" w:space="0" w:color="auto"/>
        <w:left w:val="none" w:sz="0" w:space="0" w:color="auto"/>
        <w:bottom w:val="none" w:sz="0" w:space="0" w:color="auto"/>
        <w:right w:val="none" w:sz="0" w:space="0" w:color="auto"/>
      </w:divBdr>
    </w:div>
    <w:div w:id="2145390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mdpi.com/2624-6511/8/5/145" TargetMode="External"/><Relationship Id="rId13" Type="http://schemas.openxmlformats.org/officeDocument/2006/relationships/footer" Target="footer2.xml"/><Relationship Id="rId18"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994B1A8-30EA-47C3-9BE1-854FC3C60657}">
  <ds:schemaRefs>
    <ds:schemaRef ds:uri="http://schemas.openxmlformats.org/officeDocument/2006/bibliography"/>
  </ds:schemaRefs>
</ds:datastoreItem>
</file>

<file path=customXml/itemProps2.xml><?xml version="1.0" encoding="utf-8"?>
<ds:datastoreItem xmlns:ds="http://schemas.openxmlformats.org/officeDocument/2006/customXml" ds:itemID="{4822FE74-E6A8-41B7-8801-6E2BC3FBE326}"/>
</file>

<file path=customXml/itemProps3.xml><?xml version="1.0" encoding="utf-8"?>
<ds:datastoreItem xmlns:ds="http://schemas.openxmlformats.org/officeDocument/2006/customXml" ds:itemID="{1DF9A675-5E4C-46A1-83FB-8E4A1F571AA6}"/>
</file>

<file path=customXml/itemProps4.xml><?xml version="1.0" encoding="utf-8"?>
<ds:datastoreItem xmlns:ds="http://schemas.openxmlformats.org/officeDocument/2006/customXml" ds:itemID="{E6BDA88F-C552-4E0A-A9B9-07E88B69D78B}"/>
</file>

<file path=docMetadata/LabelInfo.xml><?xml version="1.0" encoding="utf-8"?>
<clbl:labelList xmlns:clbl="http://schemas.microsoft.com/office/2020/mipLabelMetadata">
  <clbl:label id="{912a5d77-fb98-4eee-af32-1334d8f04a53}" enabled="0" method="" siteId="{912a5d77-fb98-4eee-af32-1334d8f04a53}" removed="1"/>
</clbl:labelList>
</file>

<file path=docProps/app.xml><?xml version="1.0" encoding="utf-8"?>
<Properties xmlns="http://schemas.openxmlformats.org/officeDocument/2006/extended-properties" xmlns:vt="http://schemas.openxmlformats.org/officeDocument/2006/docPropsVTypes">
  <Template>Normal</Template>
  <TotalTime>36</TotalTime>
  <Pages>4</Pages>
  <Words>1959</Words>
  <Characters>12344</Characters>
  <Application>Microsoft Office Word</Application>
  <DocSecurity>0</DocSecurity>
  <Lines>164</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Novatech 2026 abstract</vt:lpstr>
      <vt:lpstr>communication novatech</vt:lpstr>
    </vt:vector>
  </TitlesOfParts>
  <Company>GRAIE</Company>
  <LinksUpToDate>false</LinksUpToDate>
  <CharactersWithSpaces>14251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Novatech 2026 abstract</dc:title>
  <dc:subject/>
  <dc:creator>GRAIE</dc:creator>
  <cp:keywords/>
  <dc:description/>
  <cp:lastModifiedBy>Zeydalinejad, Nejat</cp:lastModifiedBy>
  <cp:revision>9</cp:revision>
  <cp:lastPrinted>2003-09-03T12:25:00Z</cp:lastPrinted>
  <dcterms:created xsi:type="dcterms:W3CDTF">2025-11-24T11:07:00Z</dcterms:created>
  <dcterms:modified xsi:type="dcterms:W3CDTF">2025-11-25T09:17:00Z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ies>
</file>