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0ADCD" w14:textId="77777777" w:rsidR="00E91CE1" w:rsidRDefault="00E91CE1" w:rsidP="008633AC">
      <w:pPr>
        <w:pStyle w:val="1Translation"/>
        <w:ind w:left="0"/>
        <w:rPr>
          <w:b/>
          <w:bCs/>
          <w:color w:val="00708E"/>
          <w:lang w:val="en-US"/>
        </w:rPr>
      </w:pPr>
      <w:r w:rsidRPr="00E91CE1">
        <w:rPr>
          <w:b/>
          <w:bCs/>
          <w:color w:val="00708E"/>
          <w:lang w:val="en-US"/>
        </w:rPr>
        <w:t>Localized Sediment Resuspension Model: Evaluating Transferability and Extending Resuspension Dynamics with PSD Information</w:t>
      </w:r>
    </w:p>
    <w:p w14:paraId="11A7CD7C" w14:textId="42EF7D74" w:rsidR="00C31BFD" w:rsidRPr="00CA2DE9" w:rsidRDefault="00E91CE1" w:rsidP="008633AC">
      <w:pPr>
        <w:pStyle w:val="3names"/>
        <w:ind w:left="0"/>
        <w:rPr>
          <w:color w:val="auto"/>
          <w:sz w:val="20"/>
          <w:szCs w:val="20"/>
          <w:lang w:val="en-US"/>
        </w:rPr>
      </w:pPr>
      <w:r w:rsidRPr="00E91CE1">
        <w:rPr>
          <w:color w:val="00B6CF"/>
          <w:sz w:val="28"/>
          <w:lang w:val="en-US"/>
        </w:rPr>
        <w:t>Localized Sediment Resuspension Model : Évaluation de la transférabilité et extension des dynamiques de remise en suspension avec les informations PSD</w:t>
      </w:r>
    </w:p>
    <w:p w14:paraId="4C47035A" w14:textId="02D4C288" w:rsidR="00DE20F1" w:rsidRDefault="00E91CE1" w:rsidP="008633AC">
      <w:pPr>
        <w:pStyle w:val="4organisme"/>
        <w:spacing w:before="240"/>
        <w:ind w:left="0"/>
        <w:rPr>
          <w:rFonts w:cstheme="minorHAnsi"/>
          <w:color w:val="CF007E"/>
          <w:sz w:val="24"/>
        </w:rPr>
      </w:pPr>
      <w:r w:rsidRPr="008633AC">
        <w:rPr>
          <w:rFonts w:cstheme="minorHAnsi"/>
          <w:color w:val="CF007E"/>
          <w:sz w:val="24"/>
        </w:rPr>
        <w:t>Vasileios Chrysochoidis</w:t>
      </w:r>
      <w:r w:rsidRPr="008633AC">
        <w:rPr>
          <w:rFonts w:cstheme="minorHAnsi"/>
          <w:color w:val="CF007E"/>
          <w:sz w:val="24"/>
          <w:vertAlign w:val="superscript"/>
        </w:rPr>
        <w:t>1,2</w:t>
      </w:r>
      <w:r w:rsidRPr="008633AC">
        <w:rPr>
          <w:rFonts w:cstheme="minorHAnsi"/>
          <w:color w:val="CF007E"/>
          <w:sz w:val="24"/>
        </w:rPr>
        <w:t xml:space="preserve">*, </w:t>
      </w:r>
      <w:r w:rsidR="00B334C9" w:rsidRPr="008633AC">
        <w:rPr>
          <w:rFonts w:cstheme="minorHAnsi"/>
          <w:color w:val="CF007E"/>
          <w:sz w:val="24"/>
        </w:rPr>
        <w:t>Daw</w:t>
      </w:r>
      <w:r w:rsidR="00B334C9">
        <w:rPr>
          <w:rFonts w:cstheme="minorHAnsi"/>
          <w:color w:val="CF007E"/>
          <w:sz w:val="24"/>
        </w:rPr>
        <w:t>ei Yu</w:t>
      </w:r>
      <w:r w:rsidR="00B334C9" w:rsidRPr="008633AC">
        <w:rPr>
          <w:rFonts w:cstheme="minorHAnsi"/>
          <w:color w:val="CF007E"/>
          <w:sz w:val="24"/>
          <w:vertAlign w:val="superscript"/>
        </w:rPr>
        <w:t>3</w:t>
      </w:r>
      <w:r w:rsidR="00B334C9">
        <w:rPr>
          <w:rFonts w:cstheme="minorHAnsi"/>
          <w:color w:val="CF007E"/>
          <w:sz w:val="24"/>
        </w:rPr>
        <w:t xml:space="preserve">, </w:t>
      </w:r>
      <w:r w:rsidRPr="008633AC">
        <w:rPr>
          <w:rFonts w:cstheme="minorHAnsi"/>
          <w:color w:val="CF007E"/>
          <w:sz w:val="24"/>
        </w:rPr>
        <w:t>Peter Steen Mikkelsen</w:t>
      </w:r>
      <w:r w:rsidRPr="008633AC">
        <w:rPr>
          <w:rFonts w:cstheme="minorHAnsi"/>
          <w:color w:val="CF007E"/>
          <w:sz w:val="24"/>
          <w:vertAlign w:val="superscript"/>
        </w:rPr>
        <w:t>1</w:t>
      </w:r>
      <w:r w:rsidRPr="008633AC">
        <w:rPr>
          <w:rFonts w:cstheme="minorHAnsi"/>
          <w:color w:val="CF007E"/>
          <w:sz w:val="24"/>
        </w:rPr>
        <w:t>, Luca Vezzaro</w:t>
      </w:r>
      <w:r w:rsidRPr="008633AC">
        <w:rPr>
          <w:rFonts w:cstheme="minorHAnsi"/>
          <w:color w:val="CF007E"/>
          <w:sz w:val="24"/>
          <w:vertAlign w:val="superscript"/>
        </w:rPr>
        <w:t>1</w:t>
      </w:r>
    </w:p>
    <w:p w14:paraId="4F1426E0" w14:textId="77777777" w:rsidR="008633AC" w:rsidRDefault="008633AC" w:rsidP="008633AC">
      <w:pPr>
        <w:spacing w:before="240"/>
        <w:rPr>
          <w:i/>
          <w:iCs/>
          <w:sz w:val="18"/>
          <w:szCs w:val="18"/>
        </w:rPr>
      </w:pPr>
      <w:r w:rsidRPr="00CC2277">
        <w:rPr>
          <w:i/>
          <w:iCs/>
          <w:sz w:val="18"/>
          <w:szCs w:val="18"/>
          <w:vertAlign w:val="superscript"/>
        </w:rPr>
        <w:t>1</w:t>
      </w:r>
      <w:r w:rsidRPr="00CC2277">
        <w:rPr>
          <w:i/>
          <w:iCs/>
          <w:sz w:val="18"/>
          <w:szCs w:val="18"/>
        </w:rPr>
        <w:t xml:space="preserve"> Department of Environmental Engineering, Technical University of Denmark </w:t>
      </w:r>
    </w:p>
    <w:p w14:paraId="360FF2BA" w14:textId="39012180" w:rsidR="008633AC" w:rsidRDefault="008633AC" w:rsidP="008633AC">
      <w:pPr>
        <w:spacing w:before="0"/>
        <w:rPr>
          <w:i/>
          <w:iCs/>
          <w:sz w:val="18"/>
          <w:szCs w:val="18"/>
        </w:rPr>
      </w:pPr>
      <w:r w:rsidRPr="00CC2277">
        <w:rPr>
          <w:i/>
          <w:iCs/>
          <w:sz w:val="18"/>
          <w:szCs w:val="18"/>
          <w:vertAlign w:val="superscript"/>
        </w:rPr>
        <w:t>2</w:t>
      </w:r>
      <w:r w:rsidRPr="00CC2277">
        <w:rPr>
          <w:i/>
          <w:iCs/>
          <w:sz w:val="18"/>
          <w:szCs w:val="18"/>
        </w:rPr>
        <w:t xml:space="preserve"> Sino-Danish Center for Education and Research (SDC)</w:t>
      </w:r>
    </w:p>
    <w:p w14:paraId="1218E9AD" w14:textId="188D1409" w:rsidR="008633AC" w:rsidRPr="00CC2277" w:rsidRDefault="008633AC" w:rsidP="008633AC">
      <w:pPr>
        <w:spacing w:before="0"/>
        <w:rPr>
          <w:i/>
          <w:iCs/>
          <w:sz w:val="18"/>
          <w:szCs w:val="18"/>
        </w:rPr>
      </w:pPr>
      <w:r w:rsidRPr="008633AC">
        <w:rPr>
          <w:i/>
          <w:iCs/>
          <w:sz w:val="18"/>
          <w:szCs w:val="18"/>
          <w:vertAlign w:val="superscript"/>
        </w:rPr>
        <w:t>3</w:t>
      </w:r>
      <w:r>
        <w:rPr>
          <w:i/>
          <w:iCs/>
          <w:sz w:val="18"/>
          <w:szCs w:val="18"/>
        </w:rPr>
        <w:t>Research Center for Eco-Environmental Sciences, Chinese Academy of Science, Beijing, China</w:t>
      </w:r>
    </w:p>
    <w:p w14:paraId="0552A86E" w14:textId="77777777" w:rsidR="008633AC" w:rsidRPr="008633AC" w:rsidRDefault="008633AC" w:rsidP="008633AC">
      <w:pPr>
        <w:pStyle w:val="4organisme"/>
        <w:ind w:left="0"/>
        <w:rPr>
          <w:rFonts w:cstheme="minorHAnsi"/>
        </w:rPr>
      </w:pPr>
    </w:p>
    <w:p w14:paraId="043E0AE2" w14:textId="77777777" w:rsidR="00C31BFD" w:rsidRPr="00CA2DE9" w:rsidRDefault="00C31BFD" w:rsidP="009D500F">
      <w:pPr>
        <w:pStyle w:val="Title"/>
      </w:pPr>
      <w:r w:rsidRPr="00CA2DE9">
        <w:t>R</w:t>
      </w:r>
      <w:r w:rsidR="00023D54" w:rsidRPr="00CA2DE9">
        <w:t>É</w:t>
      </w:r>
      <w:r w:rsidRPr="00CA2DE9">
        <w:t>SUM</w:t>
      </w:r>
      <w:r w:rsidR="00023D54" w:rsidRPr="00CA2DE9">
        <w:t>É</w:t>
      </w:r>
    </w:p>
    <w:p w14:paraId="4AE65FF6" w14:textId="2395486B" w:rsidR="00C31BFD" w:rsidRPr="00E91CE1" w:rsidRDefault="00E91CE1" w:rsidP="00E91CE1">
      <w:pPr>
        <w:spacing w:before="0"/>
        <w:rPr>
          <w:rFonts w:cstheme="minorHAnsi"/>
          <w:lang w:val="pt-PT"/>
        </w:rPr>
      </w:pPr>
      <w:r w:rsidRPr="00E91CE1">
        <w:rPr>
          <w:rFonts w:cstheme="minorHAnsi"/>
        </w:rPr>
        <w:t xml:space="preserve">Les déversements d’eaux usées unitaires (CSO) présentent une dynamique polluante fortement variable, les pics de matières en suspension (TSS) étant souvent liés à la remise en suspension de sédiments accumulés dans le réseau. </w:t>
      </w:r>
      <w:r w:rsidRPr="00E91CE1">
        <w:rPr>
          <w:rFonts w:cstheme="minorHAnsi"/>
          <w:lang w:val="pt-PT"/>
        </w:rPr>
        <w:t xml:space="preserve">La prévision de ces pics reste difficile en raison de l’hétérogénéité spatiale marquée des processus sédimentaires et de la disponibilité limitée de données de qualité d’eau à haute résolution. Le modèle </w:t>
      </w:r>
      <w:r w:rsidRPr="00E91CE1">
        <w:rPr>
          <w:rFonts w:cstheme="minorHAnsi"/>
          <w:i/>
          <w:iCs/>
          <w:lang w:val="pt-PT"/>
        </w:rPr>
        <w:t>Localized Sediment Resuspension</w:t>
      </w:r>
      <w:r w:rsidRPr="00E91CE1">
        <w:rPr>
          <w:rFonts w:cstheme="minorHAnsi"/>
          <w:lang w:val="pt-PT"/>
        </w:rPr>
        <w:t xml:space="preserve"> (LSR) répond à ces défis en représentant l’accumulation et la remise en suspension des sédiments au moyen de dynamiques locales ciblant des zones spécifiques du réseau.</w:t>
      </w:r>
      <w:r>
        <w:rPr>
          <w:rFonts w:cstheme="minorHAnsi"/>
          <w:lang w:val="pt-PT"/>
        </w:rPr>
        <w:t xml:space="preserve"> </w:t>
      </w:r>
      <w:r w:rsidRPr="00E91CE1">
        <w:rPr>
          <w:rFonts w:cstheme="minorHAnsi"/>
          <w:lang w:val="pt-PT"/>
        </w:rPr>
        <w:t>Cette étude évalue la transférabilité du modèle LSR en l’appliquant à un nouveau bassin d’assainissement unitaires à Dresde, en Allemagne, et examine si ses principes fondamentaux restent valables sous des conditions hydrauliques et structurelles différentes. Le modèle est ensuite étendu par l’introduction de classes de sédiments issues de distributions granulométriques (PSD), permettant aux seuils d’érosion et aux cinétiques de refléter les propriétés intrinsèques des matériaux.</w:t>
      </w:r>
      <w:r>
        <w:rPr>
          <w:rFonts w:cstheme="minorHAnsi"/>
          <w:lang w:val="pt-PT"/>
        </w:rPr>
        <w:t xml:space="preserve"> </w:t>
      </w:r>
      <w:r w:rsidRPr="00E91CE1">
        <w:rPr>
          <w:rFonts w:cstheme="minorHAnsi"/>
          <w:lang w:val="pt-PT"/>
        </w:rPr>
        <w:t>Les résultats montrent que le modèle LSR parvient à reproduire les pics de TSS liés à la remise en suspension dans ce nouveau bassin, confirmant ainsi sa transférabilité. L’introduction de classes de sédiments a révélé des comportements de mobilisation spécifiques aux fractions grossières, moyennes, fines et très fines, soulignant l’importance de l’hétérogénéité des matériaux. Enfin, les analyses de scénarios montrent que la structure du modèle et la composition granulométrique influencent la prédiction des TSS. Ensemble, ces résultats renforcent la base physique et la généralité du modèle LSR pour la modélisation de la dynamique des polluants en CSO.</w:t>
      </w:r>
    </w:p>
    <w:p w14:paraId="02FC3078" w14:textId="77777777" w:rsidR="00C31BFD" w:rsidRDefault="00C31BFD" w:rsidP="009D500F">
      <w:pPr>
        <w:pStyle w:val="Title"/>
        <w:rPr>
          <w:color w:val="00B6CF"/>
        </w:rPr>
      </w:pPr>
      <w:r w:rsidRPr="00CA2DE9">
        <w:rPr>
          <w:color w:val="00B6CF"/>
        </w:rPr>
        <w:t>ABSTRACT</w:t>
      </w:r>
    </w:p>
    <w:p w14:paraId="0F88A62C" w14:textId="6E613E05" w:rsidR="00C31BFD" w:rsidRPr="00E91CE1" w:rsidRDefault="00E91CE1" w:rsidP="005667E5">
      <w:r w:rsidRPr="00E91CE1">
        <w:t>Combined sewer overflows (CSOs) exhibit highly variable pollutant dynamics, with Total Suspended Solids (TSS) peaks often driven by the resuspension of sediments accumulated within the network. Predicting these peaks remains difficult due to strong spatial heterogeneity in sediment processes and the limited availability of high-resolution water-quality data. The Localized Sediment Resuspension (LSR) model addresses these challenges by representing sediment accumulation and resuspension through localized hotspot dynamics.</w:t>
      </w:r>
      <w:r>
        <w:t xml:space="preserve"> </w:t>
      </w:r>
      <w:r w:rsidRPr="00E91CE1">
        <w:t>This study evaluates the transferability of the LSR model by applying it to a new combined sewer catchment in Dresden, Germany, and examines whether its core principles remain valid under different hydraulic and network conditions. The model is further extended by introducing sediment classes derived from particle size distribution (PSD) information, allowing erosion thresholds and kinetics to reflect intrinsic sediment properties.</w:t>
      </w:r>
      <w:r>
        <w:t xml:space="preserve"> R</w:t>
      </w:r>
      <w:r w:rsidRPr="00E91CE1">
        <w:t xml:space="preserve">esults show that the LSR model is able to reproduce resuspension-driven TSS peaks in the new catchment, confirming its applicability beyond the original system. Introducing sediment classes revealed additional </w:t>
      </w:r>
      <w:r w:rsidRPr="00E91CE1">
        <w:t>mobilization</w:t>
      </w:r>
      <w:r w:rsidRPr="00E91CE1">
        <w:t xml:space="preserve"> behaviour across coarse, medium, fine, and very fine fractions, highlighting the role of material heterogeneity. Scenario analyses further demonstrated that both model structure and PSD composition influence TSS predictions. Together, these results strengthen the physical basis and generality of the LSR framework for modelling CSO pollutant dynamics.</w:t>
      </w:r>
    </w:p>
    <w:p w14:paraId="085BA4B4" w14:textId="77777777" w:rsidR="00C31BFD" w:rsidRPr="00CA2DE9" w:rsidRDefault="006A683B" w:rsidP="009D500F">
      <w:pPr>
        <w:pStyle w:val="Title"/>
        <w:rPr>
          <w:color w:val="auto"/>
        </w:rPr>
      </w:pPr>
      <w:r w:rsidRPr="00CA2DE9">
        <w:rPr>
          <w:color w:val="auto"/>
        </w:rPr>
        <w:t>KEYWORDS</w:t>
      </w:r>
    </w:p>
    <w:p w14:paraId="05BA67D1" w14:textId="77777777" w:rsidR="004A18F1" w:rsidRDefault="004A18F1" w:rsidP="004A18F1">
      <w:r>
        <w:t>Urban drainage systems, Sewer Network Modeling, Pollution-based real-time control (PB-RTC), Peak-Weighted Dynamic Time Warping (PW-DTW), Spatial Heterogeneity.</w:t>
      </w:r>
    </w:p>
    <w:p w14:paraId="7058341E" w14:textId="68F00CEE" w:rsidR="00C31BFD" w:rsidRDefault="00AA1C3A" w:rsidP="009D500F">
      <w:pPr>
        <w:pStyle w:val="Heading1"/>
      </w:pPr>
      <w:r w:rsidRPr="00CA2DE9">
        <w:br w:type="page"/>
      </w:r>
      <w:r w:rsidR="00CA2DE9" w:rsidRPr="00CA2DE9">
        <w:lastRenderedPageBreak/>
        <w:t>Introduction</w:t>
      </w:r>
    </w:p>
    <w:p w14:paraId="262C9A03" w14:textId="51E69810" w:rsidR="00906F84" w:rsidRPr="00906F84" w:rsidRDefault="00906F84" w:rsidP="00906F84">
      <w:r w:rsidRPr="00906F84">
        <w:t>Combined sewer overflows (CSOs) continue to represent a major challenge for urban water management, as they discharge a mixture of untreated wastewater and stormwater during wet-weather events and often exhibit highly variable pollutant dynamics</w:t>
      </w:r>
      <w:r w:rsidR="004A18F1">
        <w:t xml:space="preserve"> </w:t>
      </w:r>
      <w:sdt>
        <w:sdtPr>
          <w:rPr>
            <w:color w:val="000000"/>
          </w:rPr>
          <w:tag w:val="MENDELEY_CITATION_v3_eyJjaXRhdGlvbklEIjoiTUVOREVMRVlfQ0lUQVRJT05fMzMxMzQ1YTItOWFlZi00MGVjLTliOTQtNGExNmM1NjBkYTA4IiwicHJvcGVydGllcyI6eyJub3RlSW5kZXgiOjB9LCJpc0VkaXRlZCI6ZmFsc2UsIm1hbnVhbE92ZXJyaWRlIjp7ImlzTWFudWFsbHlPdmVycmlkZGVuIjpmYWxzZSwiY2l0ZXByb2NUZXh0IjoiKFBlcnJ5IGV0IGFsLiwgMjAyNCkiLCJtYW51YWxPdmVycmlkZVRleHQiOiIifSwiY2l0YXRpb25JdGVtcyI6W3siaWQiOiI4Y2Y0YTAwMy0wZjMzLTNmMTEtYjY3NC0xMmVlMDQ3N2IxZmIiLCJpdGVtRGF0YSI6eyJ0eXBlIjoiYXJ0aWNsZS1qb3VybmFsIiwiaWQiOiI4Y2Y0YTAwMy0wZjMzLTNmMTEtYjY3NC0xMmVlMDQ3N2IxZmIiLCJ0aXRsZSI6IkFkZHJlc3NpbmcgdGhlIGNoYWxsZW5nZXMgb2YgY29tYmluZWQgc2V3ZXIgb3ZlcmZsb3dzIiwiYXV0aG9yIjpbeyJmYW1pbHkiOiJQZXJyeSIsImdpdmVuIjoiV2lsbGlhbSBCZXJuYXJkIiwicGFyc2UtbmFtZXMiOmZhbHNlLCJkcm9wcGluZy1wYXJ0aWNsZSI6IiIsIm5vbi1kcm9wcGluZy1wYXJ0aWNsZSI6IiJ9LHsiZmFtaWx5IjoiQWhtYWRpYW4iLCJnaXZlbiI6IlJlemEiLCJwYXJzZS1uYW1lcyI6ZmFsc2UsImRyb3BwaW5nLXBhcnRpY2xlIjoiIiwibm9uLWRyb3BwaW5nLXBhcnRpY2xlIjoiIn0seyJmYW1pbHkiOiJNdW5kYXkiLCJnaXZlbiI6Ik1heCIsInBhcnNlLW5hbWVzIjpmYWxzZSwiZHJvcHBpbmctcGFydGljbGUiOiIiLCJub24tZHJvcHBpbmctcGFydGljbGUiOiIifSx7ImZhbWlseSI6IkpvbmVzIiwiZ2l2ZW4iOiJPd2VuIiwicGFyc2UtbmFtZXMiOmZhbHNlLCJkcm9wcGluZy1wYXJ0aWNsZSI6IiIsIm5vbi1kcm9wcGluZy1wYXJ0aWNsZSI6IiJ9LHsiZmFtaWx5IjoiT3JtZXJvZCIsImdpdmVuIjoiU3RldmUgSiIsInBhcnNlLW5hbWVzIjpmYWxzZSwiZHJvcHBpbmctcGFydGljbGUiOiIiLCJub24tZHJvcHBpbmctcGFydGljbGUiOiIifSx7ImZhbWlseSI6IkR1cmFuY2UiLCJnaXZlbiI6IklzYWJlbGxlIiwicGFyc2UtbmFtZXMiOmZhbHNlLCJkcm9wcGluZy1wYXJ0aWNsZSI6IiIsIm5vbi1kcm9wcGluZy1wYXJ0aWNsZSI6IiJ9XSwiY29udGFpbmVyLXRpdGxlIjoiRW52aXJvbm1lbnRhbCBQb2xsdXRpb24iLCJET0kiOiJodHRwczovL2RvaS5vcmcvMTAuMTAxNi9qLmVudnBvbC4yMDIzLjEyMzIyNSIsIklTU04iOiIwMjY5LTc0OTEiLCJVUkwiOiJodHRwczovL3d3dy5zY2llbmNlZGlyZWN0LmNvbS9zY2llbmNlL2FydGljbGUvcGlpL1MwMjY5NzQ5MTIzMDIyMjczIiwiaXNzdWVkIjp7ImRhdGUtcGFydHMiOltbMjAyNF1dfSwicGFnZSI6IjEyMzIyNSIsImFic3RyYWN0IjoiRXVyb3BlJ3MgYWdlaW5nIHdhc3Rld2F0ZXIgc3lzdGVtIG9mdGVuIGNvbWJpbmVzIGRvbWVzdGljIHNld2FnZSB3aXRoIHN1cmZhY2UgcnVub2ZmIGFuZCBpbmR1c3RyaWFsIHdhc3Rld2F0ZXJzLiBUbyByZWR1Y2UgdGhlIGFzc29jaWF0ZWQgcmlzayBvZiBvdmVybG9hZGluZyB3YXN0ZXdhdGVyIHRyZWF0bWVudCB3b3JrcyBkdXJpbmcgc3Rvcm1zLCBhbmQgdG8gcHJldmVudCB3YXN0ZXdhdGVyIGJhY2tpbmctdXAgaW50byBwcm9wZXJ0aWVzLCBDb21iaW5lZCBTZXdlciBPdmVyZmxvd3MgKENTT3MpIGFyZSBkZXNpZ25lZCBpbnRvIHdhc3Rld2F0ZXIgbmV0d29ya3MgdG8gcmVsZWFzZSBleGNlc3MgZGlzY2hhcmdlIGludG8gcml2ZXJzIG9yIGNvYXN0YWwgd2F0ZXJzIHdpdGhvdXQgdHJlYXRtZW50LiBJbiB2aWV3IG9mIGdyb3dpbmcgcmVndWxhdG9yeSBzY3J1dGlueSBhbmQgaW5jcmVhc2luZyBwdWJsaWMgY29uY2VybiBhYm91dCB0aGVpciBleGNlc3NpdmUgZGlzY2hhcmdlIGZyZXF1ZW5jaWVzIGFuZCBwb3RlbnRpYWwgaW1wYWN0cyBvbiBlbnZpcm9ubWVudHMgYW5kIHBlb3BsZSwgdGhlcmUgaXMgYSBuZWVkIHRvIGJldHRlciB1bmRlcnN0YW5kIHRoZXNlIGltcGFjdHMgdG8gYWxsb3cgcHJpb3JpdGlzYXRpb24gb2YgY29zdC1lZmZlY3RpdmUgc29sdXRpb25zLldlIHJldmlldzogaSkgdGhlIGNoZW1pY2FsLCBwaHlzaWNhbCBhbmQgYmlvbG9naWNhbCBjb21wb3NpdGlvbiBvZiBDU09zIGRpc2NoYXJnZXM7IGlpKSBzcGF0aW8tdGVtcG9yYWwgdmFyaWF0aW9ucyBpbiB0aGUgcXVhbnRpdHksIHF1YWxpdHkgYW5kIGxvYWQgb2Ygb3ZlcmZsb3dzIHNwaWxsaW5nIGludG8gcmVjZWl2aW5nIHdhdGVyczsgaWlpKSB0aGUgcG90ZW50aWFsIGltcGFjdHMgb24gcGVvcGxlLCBlY29zeXN0ZW1zIGFuZCBlY29ub21pZXMuIERlc3BpdGUgaW52ZXN0aWdhdGlvbnMgaWxsdXN0cmF0aW5nIHRoZSBkaXNjaGFyZ2UgZnJlcXVlbmN5IG9mIENTT3MsIGRhdGEgb24gc3BpbGwgY29tcG9zaXRpb24gYW5kIGxvYWRpbmcgb2YgcG9sbHV0YW50cyBhcmUgdG9vIGZldyB0byByZWFjaCByZXByZXNlbnRhdGl2ZSBjb25jbHVzaW9ucywgcGFydGljdWxhcmx5IGZvciBlbWVyZ2luZyBjb250YW1pbmFudHMuIFN0dWRpZXMgYXBwcmFpc2luZyBpbXBhY3RzIGFyZSBhbHNvIHNjYXJjZSwgZXNwZWNpYWxseSBpbiBjb250ZXh0cyB3aGVyZSB0aGVyZSBhcmUgbXVsdGlwbGUgc3RyZXNzb3JzIGFmZmVjdGluZyByZWNlaXZpbmcgd2F0ZXJzLiBHaXZlbiB0aGUgY29zdHMgb2YgYWRkcmVzc2luZyBDU09zIHByb2JsZW1zLCBidXQgYWxzbyB0aGUgbGlrZWx5IGxvbmctdGVybSBnYWlucyAoZS5nLiBlY29ub21pYyBzdGltdWxhdGlvbiBhcyB3ZWxsIGFzIGltcHJvdmVtZW50cyB0byBiaW9kaXZlcnNpdHksIGVjb3N5c3RlbSBzZXJ2aWNlcywgcHVibGljIGhlYWx0aCBhbmQgd2VsbGJlaW5nKSwgd2UgaGlnaGxpZ2h0IGhlcmUgdGhlIG5lZWQgdG8gYm9sc3RlciB0aGVzZSBldmlkZW5jZSBnYXBzLiBXZSBhbHNvIGFkdm9jYXRlIG5vLXJlZ3JldHMgb3B0aW9ucyB0byBhbGxldmlhdGUgQ1NPIHByb2JsZW1zIHRha2luZyBpbnRvIGNvbnNpZGVyYXRpb24gZWNvbm9taWMgY29zdHMsIGNhcmJvbiBuZXV0cmFsaXR5LCBlY29zeXN0ZW0gYmVuZWZpdCBhbmQgY29tbXVuaXR5IHdlbGwtYmVpbmcuIEJlc2lkZXMgcHJhZ21hdGljLCByaXNrLWJhc2VkIGludmVzdG1lbnQgYnkgdXRpbGl0aWVzIGFuZCBsb2NhbCBhdXRob3JpdGllcyB0byBtb2Rlcm5pc2Ugd2FzdGV3YXRlciBzeXN0ZW1zLCB0aGVzZSBpbmNsdWRlIGkpIG1vcmUgc3lzdGVtaWMgdGhpbmtpbmcsIGxpbmtpbmcgcG9saWN5IG1ha2VycywgY29uc3VtZXJzLCB1dGlsaXRpZXMgYW5kIHJlZ3VsYXRvcnMsIHRvIHNoaWZ0IGZyb20gbG9jYWwgQ1NPIGlzc3VlcyB0byBpbnRlZ3JhdGVkIGNhdGNobWVudCBzb2x1dGlvbnMgd2l0aCB0aGUgYWltIG9mIHJlZHVjaW5nIGNvbnRyaWJ1dGlvbnMgdG8gd2FzdGV3YXRlciBmcm9tIHN1cmZhY2UgZHJhaW5hZ2UgYW5kIHdhdGVyIGNvbnN1bXB0aW9uOyBpaSkgYnJvYWRlciBzb2NpZXRhbCByZXNwb25zaWJpbGl0aWVzIGZvciBDU09zLCBmb3IgZXhhbXBsZSB0aHJvdWdoIGltcHJvdmVkIHJlZ3VsYXRpb24sIGJlaGF2aW91cmFsIGNoYW5nZXMgaW4gd2F0ZXIgY29uc3VtcHRpb24gYW5kIGRpc3Bvc2FsIG9mIHdhc3RlIGludG8gd2FzdGV3YXRlciBuZXR3b3JrcywgYW5kIGlpaSkgZ3JlYXRlciBjb3N0LXNoYXJpbmcgb2Ygd2FzdGV3YXRlciB1c2UuIiwidm9sdW1lIjoiMzQzIiwiY29udGFpbmVyLXRpdGxlLXNob3J0IjoiIn0sImlzVGVtcG9yYXJ5IjpmYWxzZX1dfQ=="/>
          <w:id w:val="-803314000"/>
          <w:placeholder>
            <w:docPart w:val="DefaultPlaceholder_-1854013440"/>
          </w:placeholder>
        </w:sdtPr>
        <w:sdtContent>
          <w:r w:rsidR="00186889" w:rsidRPr="00186889">
            <w:rPr>
              <w:color w:val="000000"/>
            </w:rPr>
            <w:t>(Perry et al., 2024)</w:t>
          </w:r>
        </w:sdtContent>
      </w:sdt>
      <w:r w:rsidRPr="00906F84">
        <w:t xml:space="preserve">. Total Suspended Solids (TSS) are particularly important in this context because they act as carriers for a wide range of contaminants and their concentrations can rise sharply when previously deposited sediments are </w:t>
      </w:r>
      <w:r w:rsidRPr="00906F84">
        <w:t>mobilized</w:t>
      </w:r>
      <w:r w:rsidR="00186889">
        <w:t xml:space="preserve"> </w:t>
      </w:r>
      <w:sdt>
        <w:sdtPr>
          <w:rPr>
            <w:color w:val="000000"/>
          </w:rPr>
          <w:tag w:val="MENDELEY_CITATION_v3_eyJjaXRhdGlvbklEIjoiTUVOREVMRVlfQ0lUQVRJT05fZTY2ZjM0NzAtOWQyNy00OGNmLWExYWEtMmViNWE4OGJhNjBlIiwicHJvcGVydGllcyI6eyJub3RlSW5kZXgiOjB9LCJpc0VkaXRlZCI6ZmFsc2UsIm1hbnVhbE92ZXJyaWRlIjp7ImlzTWFudWFsbHlPdmVycmlkZGVuIjpmYWxzZSwiY2l0ZXByb2NUZXh0IjoiKEdhc3BlcmkgZXQgYWwuLCAyMDA4KSIsIm1hbnVhbE92ZXJyaWRlVGV4dCI6IiJ9LCJjaXRhdGlvbkl0ZW1zIjpbeyJpZCI6IjFkN2Q4MjAyLTYwNDQtMzIwOC05MDFiLTMxMjg4MTgzNmI3NCIsIml0ZW1EYXRhIjp7InR5cGUiOiJhcnRpY2xlLWpvdXJuYWwiLCJpZCI6IjFkN2Q4MjAyLTYwNDQtMzIwOC05MDFiLTMxMjg4MTgzNmI3NCIsInRpdGxlIjoiUHJpb3JpdHkgcG9sbHV0YW50cyBpbiB3YXN0ZXdhdGVyIGFuZCBjb21iaW5lZCBzZXdlciBvdmVyZmxvdyIsImF1dGhvciI6W3siZmFtaWx5IjoiR2FzcGVyaSIsImdpdmVuIjoiSm9obm55IiwicGFyc2UtbmFtZXMiOmZhbHNlLCJkcm9wcGluZy1wYXJ0aWNsZSI6IiIsIm5vbi1kcm9wcGluZy1wYXJ0aWNsZSI6IiJ9LHsiZmFtaWx5IjoiR2FybmF1ZCIsImdpdmVuIjoiU3TDqXBoYW5lIiwicGFyc2UtbmFtZXMiOmZhbHNlLCJkcm9wcGluZy1wYXJ0aWNsZSI6IiIsIm5vbi1kcm9wcGluZy1wYXJ0aWNsZSI6IiJ9LHsiZmFtaWx5IjoiUm9jaGVyIiwiZ2l2ZW4iOiJWaW5jZW50IiwicGFyc2UtbmFtZXMiOmZhbHNlLCJkcm9wcGluZy1wYXJ0aWNsZSI6IiIsIm5vbi1kcm9wcGluZy1wYXJ0aWNsZSI6IiJ9LHsiZmFtaWx5IjoiTW9pbGxlcm9uIiwiZ2l2ZW4iOiJSw6lnaXMiLCJwYXJzZS1uYW1lcyI6ZmFsc2UsImRyb3BwaW5nLXBhcnRpY2xlIjoiIiwibm9uLWRyb3BwaW5nLXBhcnRpY2xlIjoiIn1dLCJjb250YWluZXItdGl0bGUiOiJUaGUgU2NpZW5jZSBvZiB0aGUgdG90YWwgZW52aXJvbm1lbnQiLCJjb250YWluZXItdGl0bGUtc2hvcnQiOiJTY2kgVG90YWwgRW52aXJvbiIsIkRPSSI6IjEwLjEwMTYvai5zY2l0b3RlbnYuMjAwOC4wOC4wMTUiLCJpc3N1ZWQiOnsiZGF0ZS1wYXJ0cyI6W1syMDA4LDEwLDFdXX0sInBhZ2UiOiIyNjMtMjcyIiwidm9sdW1lIjoiNDA3In0sImlzVGVtcG9yYXJ5IjpmYWxzZX1dfQ=="/>
          <w:id w:val="-2036879928"/>
          <w:placeholder>
            <w:docPart w:val="DefaultPlaceholder_-1854013440"/>
          </w:placeholder>
        </w:sdtPr>
        <w:sdtContent>
          <w:r w:rsidR="00186889" w:rsidRPr="00186889">
            <w:rPr>
              <w:color w:val="000000"/>
            </w:rPr>
            <w:t>(Gasperi et al., 2008)</w:t>
          </w:r>
        </w:sdtContent>
      </w:sdt>
      <w:r w:rsidRPr="00906F84">
        <w:t>. However, predicting TSS peaks remains difficult due to the inherent spatial and temporal heterogeneity of sediment accumulation and resuspension processes, as well as the limited availability of high-resolution water-quality data</w:t>
      </w:r>
      <w:r w:rsidR="00186889">
        <w:t xml:space="preserve"> </w:t>
      </w:r>
      <w:sdt>
        <w:sdtPr>
          <w:rPr>
            <w:color w:val="000000"/>
          </w:rPr>
          <w:tag w:val="MENDELEY_CITATION_v3_eyJjaXRhdGlvbklEIjoiTUVOREVMRVlfQ0lUQVRJT05fNjE4ZjIxMjQtYjM4OS00NzBhLWFmMjUtY2M2Y2YwN2IwMTcwIiwicHJvcGVydGllcyI6eyJub3RlSW5kZXgiOjB9LCJpc0VkaXRlZCI6ZmFsc2UsIm1hbnVhbE92ZXJyaWRlIjp7ImlzTWFudWFsbHlPdmVycmlkZGVuIjpmYWxzZSwiY2l0ZXByb2NUZXh0IjoiKEdhbyBldCBhbC4sIDIwMjMpIiwibWFudWFsT3ZlcnJpZGVUZXh0IjoiIn0sImNpdGF0aW9uSXRlbXMiOlt7ImlkIjoiMTcxNWU2ZGQtMDAwNS0zZjNhLTk0NjktMmUzMGJiOTNiNDM4IiwiaXRlbURhdGEiOnsidHlwZSI6ImFydGljbGUtam91cm5hbCIsImlkIjoiMTcxNWU2ZGQtMDAwNS0zZjNhLTk0NjktMmUzMGJiOTNiNDM4IiwidGl0bGUiOiJBIGNyaXRpY2FsIHJldmlldyBvZiB3YXN0ZXdhdGVyIHF1YWxpdHkgdmFyaWF0aW9uIGFuZCBpbi1zZXdlciBwcm9jZXNzZXMgZHVyaW5nIGNvbnZleWFuY2UgaW4gc2V3ZXIgc3lzdGVtcyIsImF1dGhvciI6W3siZmFtaWx5IjoiR2FvIiwiZ2l2ZW4iOiJZYW9odWFuIiwicGFyc2UtbmFtZXMiOmZhbHNlLCJkcm9wcGluZy1wYXJ0aWNsZSI6IiIsIm5vbi1kcm9wcGluZy1wYXJ0aWNsZSI6IiJ9LHsiZmFtaWx5IjoiU2hpIiwiZ2l2ZW4iOiJYdWFuIiwicGFyc2UtbmFtZXMiOmZhbHNlLCJkcm9wcGluZy1wYXJ0aWNsZSI6IiIsIm5vbi1kcm9wcGluZy1wYXJ0aWNsZSI6IiJ9LHsiZmFtaWx5IjoiSmluIiwiZ2l2ZW4iOiJYaW4iLCJwYXJzZS1uYW1lcyI6ZmFsc2UsImRyb3BwaW5nLXBhcnRpY2xlIjoiIiwibm9uLWRyb3BwaW5nLXBhcnRpY2xlIjoiIn0seyJmYW1pbHkiOiJXYW5nIiwiZ2l2ZW4iOiJYaWFvY2hhbmcgQyIsInBhcnNlLW5hbWVzIjpmYWxzZSwiZHJvcHBpbmctcGFydGljbGUiOiIiLCJub24tZHJvcHBpbmctcGFydGljbGUiOiIifSx7ImZhbWlseSI6IkppbiIsImdpdmVuIjoiUGVuZ2thbmciLCJwYXJzZS1uYW1lcyI6ZmFsc2UsImRyb3BwaW5nLXBhcnRpY2xlIjoiIiwibm9uLWRyb3BwaW5nLXBhcnRpY2xlIjoiIn1dLCJjb250YWluZXItdGl0bGUiOiJXYXRlciBSZXNlYXJjaCIsImNvbnRhaW5lci10aXRsZS1zaG9ydCI6IldhdGVyIFJlcyIsIkRPSSI6Imh0dHBzOi8vZG9pLm9yZy8xMC4xMDE2L2oud2F0cmVzLjIwMjIuMTE5Mzk4IiwiSVNTTiI6IjAwNDMtMTM1NCIsIlVSTCI6Imh0dHBzOi8vd3d3LnNjaWVuY2VkaXJlY3QuY29tL3NjaWVuY2UvYXJ0aWNsZS9waWkvUzAwNDMxMzU0MjIwMTM0MzQiLCJpc3N1ZWQiOnsiZGF0ZS1wYXJ0cyI6W1syMDIzXV19LCJwYWdlIjoiMTE5Mzk4IiwiYWJzdHJhY3QiOiJJbi1zZXdlciBwaHlzaW8tYmlvY2hlbWljYWwgcHJvY2Vzc2VzIGNhdXNlIHNpZ25pZmljYW50IHZhcmlhdGlvbnMgb2Ygd2FzdGV3YXRlciBxdWFsaXR5IGR1cmluZyBjb252ZXlhbmNlLCB3aGljaCBhZmZlY3RzIHRoZSBpbmZsdWVudCB0byBhIHdhc3Rld2F0ZXIgdHJlYXRtZW50IHBsYW50IChXV1RQKSBhbmQgYXJndWFibHkgdGhlIG1pY3JvYmlhbCBjb21tdW5pdHkgb2YgYmlvbG9naWNhbCB0cmVhdG1lbnQgdW5pdHMgaW4gYSBXV1RQLiBJbiB3ZXQgd2VhdGhlciwgY29udGFtaW5hbnRzIHN0b3JlZCBpbiBzZXdlciBkZXBvc2l0cyBjYW4gYmUgcmVzdXNwZW5kZWQgYW5kIG1pZ3JhdGUgZG93bnN0cmVhbSBvciBiZSByZWxlYXNlZCBkdXJpbmcgY29tYmluZWQgc2V3ZXIgb3ZlcmZsb3dzIHRvIHRoZSB1cmJhbiB3YXRlciBib2RpZXMsIHBvc2luZyBjaGFsbGVuZ2VzIHRvIHRoZSB0cmVhdG1lbnQgZmFjaWxpdGllcyBvciBlbmRhbmdlcmluZyB1cmJhbiB3YXRlciBxdWFsaXR5LiBUaGVyZWZvcmUsIGluLXNld2VyIHRyYW5zZm9ybWF0aW9uIGFuZCBtaWdyYXRpb24gb2YgY29udGFtaW5hbnRzIGhhdmUgYmVlbiBleHRlbnNpdmVseSBzdHVkaWVkLiBUaGUgY29tcGlsZWQgcmVzdWx0cyBmcm9tIHJlcHJlc2VudGF0aXZlIHJlc2VhcmNoIGluIHRoZSBwYXN0IGZldyBkZWNhZGVzIHNob3dlZCB0aGF0IGJpb2NoZW1pY2FsIHJlYWN0aW9ucyBhcmUgYm90aCBjcm9zcy1zZWN0aW9uYWxseSBhbmQgbG9uZ2l0dWRpbmFsbHkgb3JnYW5pemVkIGluIHRoZSBkZXBvc2l0cyBhbmQgdGhlIHNld2FnZSwgZm9sbG93aW5nIHRoZSByZWRveCBwb3RlbnRpYWwgYXMgd2VsbCBhcyB0aGUgc2VxdWVuY2Ugb2YgbWFjcm9tb2xlY3VsZS9jb250YW1pbmFudCBkZWdyYWRhdGlvbi4gVGhlIHNld2FnZSBvcmdhbmljIGNvbnRlbnRzIGFuZCBzZXdlciBiaW9maWxtIG1pY3Jvb3JnYW5pc21zIHdlcmUgZm91bmQgdG8gY292YXJ5IGJ1dCBtb3JlIHN5c3RlbWF0aWMgc3R1ZGllcyBhcmUgcmVxdWlyZWQgdG8gZXhhbWluZSB0aGUgdGVtcG9yYWwgc3RhYmlsaXR5IG9mIHRoZSBmZWF0dXJlLiBCZXNpZGVzLCB1bmlxdWUgY29tbXVuaXRpZXMgY2FuIGJlIGRldmVsb3BlZCBpbiB0aGUgc2V3YWdlIHBoYXNlLiBUaGUgZW5yaWNobWVudCBvZiB0aGUgbWFqb3Igc2V3YWdlLWFzc29jaWF0ZWQgbWljcm9vcmdhbmlzbXMgY2FuIGJlIGV4cGxhaW5lZCBieSB0aGUgYXZhaWxhYmlsaXR5IG9mIGJpb2RlZ3JhZGFibGUgb3JnYW5pYyBjb250ZW50cyBpbiBzZXdlcnMuIFRoZSBzZXdlciBkZXBvc2l0cywgaW5jbHVkaW5nIGJpb2ZpbG1zLCBoYXJib3IgYm90aCBtaWNyb29yZ2FuaXNtcyBhbmQgY29udGFtaW5hbnRzIGFuZCB1c3VhbGx5IGNhbiBwcm92aWRlIGxvbmdlciByZXNpZGVuY2UgdGltZSBmb3IgaW4tc2V3ZXIgdHJhbnNmb3JtYXRpb24gdGhhbiB3YXN0ZXdhdGVyLiBIb3dldmVyLCB0aGUgaW50ZXJyZWxhdGlvbnNoaXBzIGFtb25nIGNvbnRhbWluYW50IHRyYW5zZm9ybWF0aW9uLCBtaWNyb29yZ2FuaXNtcyBpbiB0aGUgZGVwb3NpdHMvYmlvZmlsbXMsIGFuZCB0aG9zZSBpbiB0aGUgc2V3YWdlIGFyZSBsYXJnZWx5IHVuY2xlYXIuIFNwZWNpZmljYWxseSwgdGhlIGZvcm1hdGlvbiBhbmQgbWlncmF0aW9uIG9mIEZPRyAoZmF0LCBvaWwsIGFuZCBncmVhc2UpIGRlcG9zaXRzLCBnZW5lcmF0aW9uIGFuZCB0cmFuc3BvcnQgb2YgY29udGFtaW5hbnRzIGluIHRoZSBzZXdlciBhdG1vc3BoZXJlIChlLmcuLCBIMlMsIENINCwgdm9sYXRpbGUgb3JnYW5pYyBjb21wb3VuZHMsIGJpb2Flcm9zb2xzKSwgdHJhbnNwb3J0IGFuZCB0cmFuc2Zvcm1hdGlvbiBvZiBub25jb252ZW50aW9uYWwgY29udGFtaW5hbnRzLCBzdWNoIGFzIHBoYXJtYWNldXRpY2FscyBhbmQgcGVyc29uYWwgY2FyZSBwcm9kdWN0cywgYW5kIHdhc3Rld2F0ZXIgcXVhbGl0eSB2YXJpYXRpb24gZHVyaW5nIHRoZSBiaW9maWxtIHJlaGFiaWxpdGF0aW9uIHBlcmlvZCBhZnRlciBkYW1hZ2VzIGNhdXNlZCBieSByYWlucy9zdG9ybXMgYXJlIHNvbWUgdG9waWNzIGZvciBmdXR1cmUgcmVzZWFyY2guIE1vcmVvdmVyLCBzeXN0ZW1hdGljIGFuZCBzdGFuZGFyZGl6ZWQgZmllbGQgYW5hbHlzaXMgb2YgcmVhbCBzZXdlcnMgdW5kZXIgZHluYW1pYyB3YXN0ZXdhdGVyIGRpc2NoYXJnZSBjb25kaXRpb25zIGlzIG5lY2Vzc2FyeS4gV2UgYmVsaWV2ZSB0aGF0IGFuIGltcHJvdmVkIHVuZGVyc3RhbmRpbmcgb2YgdGhlc2UgcHJvY2Vzc2VzIHdvdWxkIGFzc2lzdCBpbiBzZXdlciBtYW5hZ2VtZW50IGFuZCBiZXR0ZXIgcHJlcGFyZSB1cyBmb3IgdGhlIGNoYWxsZW5nZXMgYnJvdWdodCBhYm91dCBieSBjbGltYXRlIGNoYW5nZSBhbmQgd2F0ZXIgc2hvcnRhZ2UuIiwidm9sdW1lIjoiMjI4In0sImlzVGVtcG9yYXJ5IjpmYWxzZX1dfQ=="/>
          <w:id w:val="-584386296"/>
          <w:placeholder>
            <w:docPart w:val="DefaultPlaceholder_-1854013440"/>
          </w:placeholder>
        </w:sdtPr>
        <w:sdtContent>
          <w:r w:rsidR="00186889" w:rsidRPr="00186889">
            <w:rPr>
              <w:color w:val="000000"/>
            </w:rPr>
            <w:t>(Gao et al., 2023)</w:t>
          </w:r>
        </w:sdtContent>
      </w:sdt>
      <w:r w:rsidRPr="00906F84">
        <w:t>.</w:t>
      </w:r>
      <w:r w:rsidR="00773F7E">
        <w:t xml:space="preserve"> </w:t>
      </w:r>
      <w:r w:rsidR="00773F7E" w:rsidRPr="00773F7E">
        <w:t>Traditional modelling approaches struggle with these dynamics because they generally assume spatially uniform sediment behaviour and rely on simplified accumulation–wash-off formulations</w:t>
      </w:r>
      <w:r w:rsidR="00186889">
        <w:t xml:space="preserve"> </w:t>
      </w:r>
      <w:sdt>
        <w:sdtPr>
          <w:rPr>
            <w:color w:val="000000"/>
          </w:rPr>
          <w:tag w:val="MENDELEY_CITATION_v3_eyJjaXRhdGlvbklEIjoiTUVOREVMRVlfQ0lUQVRJT05fYTU1ZDZjOTMtMjQxOS00NjUxLWFlMGMtZjk5NDZhNDI5Y2Y1IiwicHJvcGVydGllcyI6eyJub3RlSW5kZXgiOjB9LCJpc0VkaXRlZCI6ZmFsc2UsIm1hbnVhbE92ZXJyaWRlIjp7ImlzTWFudWFsbHlPdmVycmlkZGVuIjpmYWxzZSwiY2l0ZXByb2NUZXh0IjoiKENocnlzb2Nob2lkaXMgZXQgYWwuLCAyMDI1KSIsIm1hbnVhbE92ZXJyaWRlVGV4dCI6IiJ9LCJjaXRhdGlvbkl0ZW1zIjpbeyJpZCI6IjI2ODEzODBkLTAyZDEtMzk0My05MWNlLTAzMGY4N2EyZTFiMSIsIml0ZW1EYXRhIjp7InR5cGUiOiJhcnRpY2xlLWpvdXJuYWwiLCJpZCI6IjI2ODEzODBkLTAyZDEtMzk0My05MWNlLTAzMGY4N2EyZTFiMSIsInRpdGxlIjoiUmV0aGlua2luZyBtb2RlbGxpbmcgb2YgcGFydGljdWxhdGUgcG9sbHV0YW50cyBpbiBjb21iaW5lZCBzZXdlciBvdmVyZmxvd3MgKENTT3MpOiBBIGZvY3VzIG9uIG1vZGVsIHN0cnVjdHVyZSIsImF1dGhvciI6W3siZmFtaWx5IjoiQ2hyeXNvY2hvaWRpcyIsImdpdmVuIjoiVmFzaWxlaW9zIiwicGFyc2UtbmFtZXMiOmZhbHNlLCJkcm9wcGluZy1wYXJ0aWNsZSI6IiIsIm5vbi1kcm9wcGluZy1wYXJ0aWNsZSI6IiJ9LHsiZmFtaWx5IjoiR3J1YmVyIiwiZ2l2ZW4iOiJHw7xudGVyIiwicGFyc2UtbmFtZXMiOmZhbHNlLCJkcm9wcGluZy1wYXJ0aWNsZSI6IiIsIm5vbi1kcm9wcGluZy1wYXJ0aWNsZSI6IiJ9LHsiZmFtaWx5IjoiSG9mZXIiLCJnaXZlbiI6IlRob21hcyIsInBhcnNlLW5hbWVzIjpmYWxzZSwiZHJvcHBpbmctcGFydGljbGUiOiIiLCJub24tZHJvcHBpbmctcGFydGljbGUiOiIifSx7ImZhbWlseSI6Ik1pa2tlbHNlbiIsImdpdmVuIjoiUGV0ZXIgU3RlZW4iLCJwYXJzZS1uYW1lcyI6ZmFsc2UsImRyb3BwaW5nLXBhcnRpY2xlIjoiIiwibm9uLWRyb3BwaW5nLXBhcnRpY2xlIjoiIn0seyJmYW1pbHkiOiJWZXp6YXJvIiwiZ2l2ZW4iOiJMdWNhIiwicGFyc2UtbmFtZXMiOmZhbHNlLCJkcm9wcGluZy1wYXJ0aWNsZSI6IiIsIm5vbi1kcm9wcGluZy1wYXJ0aWNsZSI6IiJ9XSwiY29udGFpbmVyLXRpdGxlIjoiSm91cm5hbCBvZiBIeWRyb2xvZ3kiLCJjb250YWluZXItdGl0bGUtc2hvcnQiOiJKIEh5ZHJvbCAoQW1zdCkiLCJET0kiOiJodHRwczovL2RvaS5vcmcvMTAuMTAxNi9qLmpoeWRyb2wuMjAyNS4xMzMyMzkiLCJJU1NOIjoiMDAyMi0xNjk0IiwiVVJMIjoiaHR0cHM6Ly93d3cuc2NpZW5jZWRpcmVjdC5jb20vc2NpZW5jZS9hcnRpY2xlL3BpaS9TMDAyMjE2OTQyNTAwNTc3MyIsImlzc3VlZCI6eyJkYXRlLXBhcnRzIjpbWzIwMjVdXX0sInBhZ2UiOiIxMzMyMzkiLCJhYnN0cmFjdCI6IlRoZSBwZXJzaXN0ZW50IGNoYWxsZW5nZSBvZiBjb21iaW5lZCBzZXdlciBvdmVyZmxvd3MgKENTT3MpIGluIHVyYmFuIGRyYWluYWdlIHN5c3RlbXMgaXMgZXhhY2VyYmF0ZWQgYnkgY2xpbWF0ZSBjaGFuZ2UgYW5kIHVyYmFuIGdyb3d0aCwgd2l0aCBpbmNyZWFzZWQgYXR0ZW50aW9uIG9uIHdhdGVyIHF1YWxpdHkgaGlzdG9yaWNhbGx5IG92ZXJzaGFkb3dlZCBieSB3YXRlciBxdWFudGl0eSBtb25pdG9yaW5nLiBNb2RlbGxpbmcgQ1NPIHdhdGVyIHF1YWxpdHkgY2hhbGxlbmdlcyBpcyBhZmZlY3RlZCBieSBzZXZlcmFsIGtub3duIGNoYWxsZW5nZXMsIGVzcGVjaWFsbHkgZm9yIHBhcnRpY3VsYXRlIHBvbGx1dGFudHMgKGkuZS4sIGRhdGEgdW5jZXJ0YWludGllcywgb3ZlcnBhcmFtZXRlcml6YXRpb24sIGFuZCBub24tdHJhbnNmZXJhYmlsaXR5KS4gVGhpcyBzdHVkeSBhc3Nlc3NlcyB0aGUgaW1wYWN0cyBvZiBtb2RlbCBzdHJ1Y3R1cmUgYW5kIG91dHB1dCByZXNvbHV0aW9uIChhZ2dyZWdhdGVkIHllYXJseSwgaW50ZXItZXZlbnQgYW5kIGludHJhLWV2ZW50IGJhc2lzKSBvbiBtb2RlbCBwZXJmb3JtYW5jZSB3aGVuIHByZWRpY3RpbmcgcGFydGljdWxhdGUgcG9sbHV0YW50cyBsZXZlbHMgZHVyaW5nIENTTyBldmVudHMuIEZvdXIgbW9kZWwgc3RydWN0dXJlcyBhcmUgY29tcGFyZWQgZm9yIHRoZWlyIGFiaWxpdHkgdG8gc2ltdWxhdGUgdGhlIFRTUyBkaXNjaGFyZ2UgbG9hZCBwcm9maWxlIGF0IHRoZSBpbmxldCBvZiBhIENTTyBjaGFtYmVyIGluIEdyYXosIEF1c3RyaWEsIHVzaW5nIE1lYW4gQWJzb2x1dGUgUGVyY2VudGFnZSBFcnJvciAoTUFQRSkgYW5kIER5bmFtaWMgVGltZSBXYXJwaW5nIChEVFcpIHRvIGFzc2VzcyBhY2N1cmFjeSBhbmQgcHJvZmlsZSBzaW1pbGFyaXR5IHdpdGggb2JzZXJ2ZWQgZGF0YS4gVGhlIG1vZGVsIHN0cnVjdHVyZXMgaW5jbHVkZSB0d28gcGh5c2ljcy1iYXNlZCAoZGV0YWlsZWQgaHlkcm9keW5hbWljLCBjb25jZXB0dWFsKSBhbmQgdHdvIGRhdGEtZHJpdmVuIGFwcHJvYWNoZXMgKGh5YnJpZCBtYWNoaW5lIGxlYXJuaW5nLCBlbXBpcmljYWwpLiBBbHRlcm5hdGl2ZSBtb2RlbHMgYXJlIHByb3Bvc2VkIHRvIGltcHJvdmUgbW9kZWwgcGVyZm9ybWFuY2UsIGNvbnNpZGVyaW5nIGEgbXVsdGktbW9kZWwsIGEgc3RvY2hhc3RpYyBhcHByb2FjaCwgYW5kIGFuIGV2ZW50LWJhc2VkIGNsdXN0ZXJpbmcuIFdlIHNob3dlZCB0aGF0IGRhdGEtZHJpdmVuIG1vZGVscyBjYXB0dXJlZCBpbi1zZXdlciBwcm9jZXNzZXMgdGhhdCBhcmUgdW5leHBsYWluZWQgYW5kIG5vdCBpbmNvcnBvcmF0ZWQgaW4gcGh5c2ljYWwgcHJvY2Vzcy1iYXNlZCBtb2RlbHMuIE91ciByZXN1bHRzIHVuZGVybGluZSB0aGUgaGlnaCBpbnRlci1ldmVudCB2YXJpYWJpbGl0eSBvZiBDU08gcG9sbHV0YW50IGR5bmFtaWNzLCBzaG93aW5nIGhvdyBhIHVuaWZvcm0gZGV0ZXJtaW5pc3RpYyBtb2RlbGxpbmcgYXBwcm9hY2ggZm9yIGFsbCB3ZXQtd2VhdGhlciBldmVudHMgbGVhZHMgdG8gcG9vciBwZXJmb3JtYW5jZS4gSW50cmEtZXZlbnQgYXNzZXNzbWVudCBzaG93cyBzaWduaWZpY2FudCBkZWZpY2llbmNpZXMgYWNyb3NzIGFsbCBtb2RlbHMuIFRoZSB1c2Ugb2Ygc3RvY2hhc3RpYyBhcHByb2FjaGVzIGFuZCBldmVudCBjbHVzdGVyaW5nIHRlY2huaXF1ZXMgZGlkIG5vdCBpbXByb3ZlIHRvIGJldHRlciBtb2RlbCBwZXJmb3JtYW5jZSBub3RhYmx5LCBhZHZvY2F0aW5nIGZvciBhIG5ldyBnZW5lcmF0aW9uIG9mIG1vZGVsbGluZyBhcHByb2FjaGVzIHRoYXQgZXhwbGljaXRseSBjb25zaWRlciB0aGUgaGlnaGx5IHNwYXRpYWwgYW5kIHRlbXBvcmFsIGhldGVyb2dlbmVpdHkgb2YgaW4tc2V3ZXIgcHJvY2Vzc2VzLiIsInZvbHVtZSI6IjY1OSJ9LCJpc1RlbXBvcmFyeSI6ZmFsc2V9XX0="/>
          <w:id w:val="-632952207"/>
          <w:placeholder>
            <w:docPart w:val="C25C108BD4D24EE983E8F6C524AE3E4E"/>
          </w:placeholder>
        </w:sdtPr>
        <w:sdtContent>
          <w:r w:rsidR="00186889" w:rsidRPr="00186889">
            <w:rPr>
              <w:color w:val="000000"/>
            </w:rPr>
            <w:t>(Chrysochoidis et al., 2025)</w:t>
          </w:r>
        </w:sdtContent>
      </w:sdt>
      <w:r w:rsidR="00773F7E" w:rsidRPr="00773F7E">
        <w:t>. As a result, they often fail to represent the localized erosion processes that govern event</w:t>
      </w:r>
      <w:r w:rsidR="007E5F4D">
        <w:t xml:space="preserve"> </w:t>
      </w:r>
      <w:r w:rsidR="00773F7E" w:rsidRPr="00773F7E">
        <w:t>TSS peaks.</w:t>
      </w:r>
    </w:p>
    <w:p w14:paraId="45EAE046" w14:textId="48E88787" w:rsidR="00E6104C" w:rsidRDefault="00E6104C" w:rsidP="00906F84">
      <w:r w:rsidRPr="00E6104C">
        <w:t xml:space="preserve">To address these challenges, the Localized Sediment Resuspension (LSR) model is built on the principle that sediment accumulation and resuspension are highly localized and shaped by strong spatial heterogeneity throughout the sewer network. </w:t>
      </w:r>
      <w:r w:rsidR="00A831FB" w:rsidRPr="00A831FB">
        <w:t>By representing these heterogeneous processes through localized resuspension dynamics, the LSR framework captures the event-dependent mobilization patterns that drive TSS peaks.</w:t>
      </w:r>
    </w:p>
    <w:p w14:paraId="60767872" w14:textId="3066B66C" w:rsidR="000A4163" w:rsidRDefault="000A4163" w:rsidP="00906F84">
      <w:r w:rsidRPr="000A4163">
        <w:t xml:space="preserve">While the LSR model captures the essential role of localized processes, applying it more broadly requires assessing its performance under different system conditions. In this study, the </w:t>
      </w:r>
      <w:r>
        <w:t xml:space="preserve">LSR </w:t>
      </w:r>
      <w:r w:rsidRPr="000A4163">
        <w:t>model is therefore evaluated in a new catchment to examine whether its underlying principles remain valid when hydraulic characteristics, network configurations, and monitoring conditions differ from those of the original system. In addition, the initial formulation treated accumulated sediment as a uniform material, even though particle size distributions (PSD) vary substantially across locations and events and can strongly influence erosion thresholds and resuspension behaviour.</w:t>
      </w:r>
    </w:p>
    <w:p w14:paraId="36A5F9A7" w14:textId="2CC42E0F" w:rsidR="000B5B12" w:rsidRPr="00906F84" w:rsidRDefault="000A4163" w:rsidP="00906F84">
      <w:r w:rsidRPr="000A4163">
        <w:t xml:space="preserve">In this study, we examine the transferability of the LSR approach by applying it to a new catchment and assessing whether the principles of localized sediment accumulation and resuspension remain valid under different hydraulic and network conditions. We also extend the model to include class-specific erosion behaviour derived from PSD information, allowing erosion thresholds and kinetics to reflect intrinsic sediment properties while preserving the spatially heterogeneous structure of the LSR </w:t>
      </w:r>
      <w:r>
        <w:t>model</w:t>
      </w:r>
      <w:r w:rsidRPr="000A4163">
        <w:t xml:space="preserve">. Together, these developments aim to strengthen the generality and physical basis of the LSR </w:t>
      </w:r>
      <w:r>
        <w:t>model principles</w:t>
      </w:r>
      <w:r w:rsidRPr="000A4163">
        <w:t xml:space="preserve"> and improve its ability to describe resuspension-driven TSS dynamic.</w:t>
      </w:r>
    </w:p>
    <w:p w14:paraId="36BBC129" w14:textId="49F8048F" w:rsidR="00CA2DE9" w:rsidRPr="00CA2DE9" w:rsidRDefault="00CA2DE9" w:rsidP="00CA2DE9">
      <w:pPr>
        <w:pStyle w:val="Heading1"/>
      </w:pPr>
      <w:r>
        <w:t>Methods</w:t>
      </w:r>
    </w:p>
    <w:p w14:paraId="2F49287C" w14:textId="075EE401" w:rsidR="00C31BFD" w:rsidRDefault="000B5B12" w:rsidP="009D500F">
      <w:pPr>
        <w:pStyle w:val="Heading2"/>
      </w:pPr>
      <w:r>
        <w:t>Governing Equations</w:t>
      </w:r>
    </w:p>
    <w:p w14:paraId="4A058CBC" w14:textId="5BE064BF" w:rsidR="000B5B12" w:rsidRDefault="000B5B12" w:rsidP="000B5B12">
      <w:r w:rsidRPr="000B5B12">
        <w:t xml:space="preserve">The LSR model describes sediment </w:t>
      </w:r>
      <w:r w:rsidR="00264F42" w:rsidRPr="000B5B12">
        <w:t>mobilization</w:t>
      </w:r>
      <w:r w:rsidRPr="000B5B12">
        <w:t xml:space="preserve"> by explicitly representing localized accumulation and resuspension</w:t>
      </w:r>
      <w:r w:rsidR="00B91EC1">
        <w:t xml:space="preserve"> locations</w:t>
      </w:r>
      <w:r w:rsidRPr="000B5B12">
        <w:t xml:space="preserve"> </w:t>
      </w:r>
      <w:r w:rsidR="00B91EC1">
        <w:t>(</w:t>
      </w:r>
      <w:r w:rsidR="00675087">
        <w:t>referred to</w:t>
      </w:r>
      <w:r w:rsidR="00B91EC1">
        <w:t xml:space="preserve"> as </w:t>
      </w:r>
      <w:r w:rsidRPr="000B5B12">
        <w:t>hotspots</w:t>
      </w:r>
      <w:r w:rsidR="00B91EC1">
        <w:t>)</w:t>
      </w:r>
      <w:r w:rsidRPr="000B5B12">
        <w:t xml:space="preserve"> across the sewer network. Using</w:t>
      </w:r>
      <w:r w:rsidR="00A63C55">
        <w:t xml:space="preserve"> outputs from a detailed hydraulic model</w:t>
      </w:r>
      <w:r w:rsidRPr="000B5B12">
        <w:t xml:space="preserve">, pipe stretches exhibiting near-zero dry-weather velocities are identified as potential accumulation zones. For each hotspot </w:t>
      </w:r>
      <w:r w:rsidR="00A63C55" w:rsidRPr="00A63C55">
        <w:rPr>
          <w:i/>
          <w:iCs/>
        </w:rPr>
        <w:t>j</w:t>
      </w:r>
      <w:r w:rsidRPr="000B5B12">
        <w:t>, the evolution of accumulated mass is described through a discrete mass balance: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2556"/>
      </w:tblGrid>
      <w:tr w:rsidR="000B5B12" w:rsidRPr="00A63C55" w14:paraId="1CF833FA" w14:textId="77777777" w:rsidTr="002C45B8">
        <w:tc>
          <w:tcPr>
            <w:tcW w:w="3591" w:type="pct"/>
          </w:tcPr>
          <w:p w14:paraId="55439122" w14:textId="5ABE4DA0" w:rsidR="000B5B12" w:rsidRPr="00A63C55" w:rsidRDefault="000B5B12" w:rsidP="00A63C55">
            <w:pPr>
              <w:rPr>
                <w:iCs/>
                <w:sz w:val="20"/>
                <w:szCs w:val="22"/>
              </w:rPr>
            </w:pPr>
            <m:oMathPara>
              <m:oMath>
                <m:sSub>
                  <m:sSubPr>
                    <m:ctrlPr>
                      <w:rPr>
                        <w:rFonts w:ascii="Cambria Math" w:hAnsi="Cambria Math"/>
                        <w:iCs/>
                        <w:sz w:val="20"/>
                        <w:szCs w:val="22"/>
                      </w:rPr>
                    </m:ctrlPr>
                  </m:sSubPr>
                  <m:e>
                    <m:r>
                      <m:rPr>
                        <m:sty m:val="p"/>
                      </m:rPr>
                      <w:rPr>
                        <w:rFonts w:ascii="Cambria Math" w:hAnsi="Cambria Math"/>
                        <w:sz w:val="20"/>
                        <w:szCs w:val="22"/>
                      </w:rPr>
                      <m:t>M</m:t>
                    </m:r>
                  </m:e>
                  <m:sub>
                    <m:r>
                      <m:rPr>
                        <m:sty m:val="p"/>
                      </m:rPr>
                      <w:rPr>
                        <w:rFonts w:ascii="Cambria Math" w:hAnsi="Cambria Math"/>
                        <w:sz w:val="20"/>
                        <w:szCs w:val="22"/>
                      </w:rPr>
                      <m:t>j</m:t>
                    </m:r>
                  </m:sub>
                </m:sSub>
                <m:d>
                  <m:dPr>
                    <m:ctrlPr>
                      <w:rPr>
                        <w:rFonts w:ascii="Cambria Math" w:hAnsi="Cambria Math"/>
                        <w:iCs/>
                        <w:sz w:val="20"/>
                        <w:szCs w:val="22"/>
                      </w:rPr>
                    </m:ctrlPr>
                  </m:dPr>
                  <m:e>
                    <m:r>
                      <m:rPr>
                        <m:sty m:val="p"/>
                      </m:rPr>
                      <w:rPr>
                        <w:rFonts w:ascii="Cambria Math" w:hAnsi="Cambria Math"/>
                        <w:sz w:val="20"/>
                        <w:szCs w:val="22"/>
                      </w:rPr>
                      <m:t>t</m:t>
                    </m:r>
                  </m:e>
                </m:d>
                <m:r>
                  <m:rPr>
                    <m:sty m:val="p"/>
                  </m:rPr>
                  <w:rPr>
                    <w:rFonts w:ascii="Cambria Math" w:hAnsi="Cambria Math"/>
                    <w:sz w:val="20"/>
                    <w:szCs w:val="22"/>
                  </w:rPr>
                  <m:t>=</m:t>
                </m:r>
                <m:sSub>
                  <m:sSubPr>
                    <m:ctrlPr>
                      <w:rPr>
                        <w:rFonts w:ascii="Cambria Math" w:hAnsi="Cambria Math"/>
                        <w:iCs/>
                        <w:sz w:val="20"/>
                        <w:szCs w:val="22"/>
                      </w:rPr>
                    </m:ctrlPr>
                  </m:sSubPr>
                  <m:e>
                    <m:r>
                      <m:rPr>
                        <m:sty m:val="p"/>
                      </m:rPr>
                      <w:rPr>
                        <w:rFonts w:ascii="Cambria Math" w:hAnsi="Cambria Math"/>
                        <w:sz w:val="20"/>
                        <w:szCs w:val="22"/>
                      </w:rPr>
                      <m:t>M</m:t>
                    </m:r>
                  </m:e>
                  <m:sub>
                    <m:r>
                      <m:rPr>
                        <m:sty m:val="p"/>
                      </m:rPr>
                      <w:rPr>
                        <w:rFonts w:ascii="Cambria Math" w:hAnsi="Cambria Math"/>
                        <w:sz w:val="20"/>
                        <w:szCs w:val="22"/>
                      </w:rPr>
                      <m:t>j</m:t>
                    </m:r>
                  </m:sub>
                </m:sSub>
                <m:d>
                  <m:dPr>
                    <m:ctrlPr>
                      <w:rPr>
                        <w:rFonts w:ascii="Cambria Math" w:hAnsi="Cambria Math"/>
                        <w:iCs/>
                        <w:sz w:val="20"/>
                        <w:szCs w:val="22"/>
                      </w:rPr>
                    </m:ctrlPr>
                  </m:dPr>
                  <m:e>
                    <m:r>
                      <m:rPr>
                        <m:sty m:val="p"/>
                      </m:rPr>
                      <w:rPr>
                        <w:rFonts w:ascii="Cambria Math" w:hAnsi="Cambria Math"/>
                        <w:sz w:val="20"/>
                        <w:szCs w:val="22"/>
                      </w:rPr>
                      <m:t>t-1</m:t>
                    </m:r>
                  </m:e>
                </m:d>
                <m:r>
                  <m:rPr>
                    <m:sty m:val="p"/>
                  </m:rPr>
                  <w:rPr>
                    <w:rFonts w:ascii="Cambria Math" w:hAnsi="Cambria Math"/>
                    <w:sz w:val="20"/>
                    <w:szCs w:val="22"/>
                  </w:rPr>
                  <m:t>-AE</m:t>
                </m:r>
                <m:sSub>
                  <m:sSubPr>
                    <m:ctrlPr>
                      <w:rPr>
                        <w:rFonts w:ascii="Cambria Math" w:hAnsi="Cambria Math"/>
                        <w:iCs/>
                        <w:sz w:val="20"/>
                        <w:szCs w:val="22"/>
                      </w:rPr>
                    </m:ctrlPr>
                  </m:sSubPr>
                  <m:e>
                    <m:r>
                      <m:rPr>
                        <m:sty m:val="p"/>
                      </m:rPr>
                      <w:rPr>
                        <w:rFonts w:ascii="Cambria Math" w:hAnsi="Cambria Math"/>
                        <w:sz w:val="20"/>
                        <w:szCs w:val="22"/>
                      </w:rPr>
                      <m:t>R</m:t>
                    </m:r>
                  </m:e>
                  <m:sub>
                    <m:r>
                      <m:rPr>
                        <m:sty m:val="p"/>
                      </m:rPr>
                      <w:rPr>
                        <w:rFonts w:ascii="Cambria Math" w:hAnsi="Cambria Math"/>
                        <w:sz w:val="20"/>
                        <w:szCs w:val="22"/>
                      </w:rPr>
                      <m:t>j</m:t>
                    </m:r>
                  </m:sub>
                </m:sSub>
                <m:d>
                  <m:dPr>
                    <m:ctrlPr>
                      <w:rPr>
                        <w:rFonts w:ascii="Cambria Math" w:hAnsi="Cambria Math"/>
                        <w:iCs/>
                        <w:sz w:val="20"/>
                        <w:szCs w:val="22"/>
                      </w:rPr>
                    </m:ctrlPr>
                  </m:dPr>
                  <m:e>
                    <m:r>
                      <m:rPr>
                        <m:sty m:val="p"/>
                      </m:rPr>
                      <w:rPr>
                        <w:rFonts w:ascii="Cambria Math" w:hAnsi="Cambria Math"/>
                        <w:sz w:val="20"/>
                        <w:szCs w:val="22"/>
                      </w:rPr>
                      <m:t>t</m:t>
                    </m:r>
                  </m:e>
                </m:d>
                <m:r>
                  <m:rPr>
                    <m:sty m:val="p"/>
                  </m:rPr>
                  <w:rPr>
                    <w:rFonts w:ascii="Cambria Math" w:hAnsi="Cambria Math"/>
                    <w:sz w:val="20"/>
                    <w:szCs w:val="22"/>
                    <w:lang w:val="el-GR"/>
                  </w:rPr>
                  <m:t>Δ</m:t>
                </m:r>
                <m:r>
                  <m:rPr>
                    <m:sty m:val="p"/>
                  </m:rPr>
                  <w:rPr>
                    <w:rFonts w:ascii="Cambria Math" w:hAnsi="Cambria Math"/>
                    <w:sz w:val="20"/>
                    <w:szCs w:val="22"/>
                  </w:rPr>
                  <m:t>t</m:t>
                </m:r>
              </m:oMath>
            </m:oMathPara>
          </w:p>
        </w:tc>
        <w:tc>
          <w:tcPr>
            <w:tcW w:w="1409" w:type="pct"/>
          </w:tcPr>
          <w:p w14:paraId="1C239AD9" w14:textId="28F65750" w:rsidR="000B5B12" w:rsidRPr="00A63C55" w:rsidRDefault="000B5B12" w:rsidP="00A63C55">
            <w:pPr>
              <w:jc w:val="right"/>
              <w:rPr>
                <w:sz w:val="20"/>
                <w:szCs w:val="22"/>
              </w:rPr>
            </w:pPr>
            <w:r w:rsidRPr="00A63C55">
              <w:rPr>
                <w:iCs/>
                <w:sz w:val="20"/>
                <w:szCs w:val="22"/>
              </w:rPr>
              <w:t xml:space="preserve">           </w:t>
            </w:r>
            <w:r w:rsidRPr="00A63C55">
              <w:rPr>
                <w:sz w:val="20"/>
                <w:szCs w:val="22"/>
              </w:rPr>
              <w:t xml:space="preserve">Equation </w:t>
            </w:r>
            <w:r w:rsidRPr="00A63C55">
              <w:rPr>
                <w:sz w:val="20"/>
                <w:szCs w:val="22"/>
              </w:rPr>
              <w:fldChar w:fldCharType="begin"/>
            </w:r>
            <w:r w:rsidRPr="00A63C55">
              <w:rPr>
                <w:sz w:val="20"/>
                <w:szCs w:val="22"/>
              </w:rPr>
              <w:instrText xml:space="preserve"> SEQ Equation \* ARABIC </w:instrText>
            </w:r>
            <w:r w:rsidRPr="00A63C55">
              <w:rPr>
                <w:sz w:val="20"/>
                <w:szCs w:val="22"/>
              </w:rPr>
              <w:fldChar w:fldCharType="separate"/>
            </w:r>
            <w:r w:rsidRPr="00A63C55">
              <w:rPr>
                <w:noProof/>
                <w:sz w:val="20"/>
                <w:szCs w:val="22"/>
              </w:rPr>
              <w:t>1</w:t>
            </w:r>
            <w:r w:rsidRPr="00A63C55">
              <w:rPr>
                <w:sz w:val="20"/>
                <w:szCs w:val="22"/>
              </w:rPr>
              <w:fldChar w:fldCharType="end"/>
            </w:r>
          </w:p>
        </w:tc>
      </w:tr>
    </w:tbl>
    <w:p w14:paraId="28DAE479" w14:textId="2B1EE5C8" w:rsidR="00675087" w:rsidRDefault="00675087" w:rsidP="000B5B12">
      <w:r w:rsidRPr="00A63C55">
        <w:t xml:space="preserve">where </w:t>
      </w:r>
      <w:r w:rsidRPr="00A63C55">
        <w:rPr>
          <w:i/>
          <w:iCs/>
        </w:rPr>
        <w:t>M</w:t>
      </w:r>
      <w:r w:rsidRPr="00A63C55">
        <w:rPr>
          <w:i/>
          <w:iCs/>
          <w:vertAlign w:val="subscript"/>
        </w:rPr>
        <w:t>j</w:t>
      </w:r>
      <w:r w:rsidRPr="00A63C55">
        <w:rPr>
          <w:i/>
          <w:iCs/>
        </w:rPr>
        <w:t>(t)</w:t>
      </w:r>
      <w:r w:rsidRPr="00A63C55">
        <w:t xml:space="preserve"> [g] </w:t>
      </w:r>
      <w:r w:rsidRPr="00675087">
        <w:t xml:space="preserve">is the sediment mass and </w:t>
      </w:r>
      <w:r w:rsidRPr="00A63C55">
        <w:rPr>
          <w:i/>
          <w:iCs/>
        </w:rPr>
        <w:t>AER</w:t>
      </w:r>
      <w:r w:rsidRPr="00A63C55">
        <w:rPr>
          <w:i/>
          <w:iCs/>
          <w:vertAlign w:val="subscript"/>
        </w:rPr>
        <w:t>j</w:t>
      </w:r>
      <w:r w:rsidRPr="00A63C55">
        <w:rPr>
          <w:i/>
          <w:iCs/>
        </w:rPr>
        <w:t>(t)</w:t>
      </w:r>
      <w:r w:rsidRPr="00A63C55">
        <w:t xml:space="preserve"> </w:t>
      </w:r>
      <w:r>
        <w:t>[</w:t>
      </w:r>
      <w:r w:rsidRPr="00675087">
        <w:t xml:space="preserve">g/s] is the actual erosion rate at timestep </w:t>
      </w:r>
      <w:r w:rsidRPr="00675087">
        <w:rPr>
          <w:i/>
          <w:iCs/>
        </w:rPr>
        <w:t>t</w:t>
      </w:r>
      <w:r w:rsidRPr="00675087">
        <w:t>. The initial mass</w:t>
      </w:r>
      <w:r w:rsidRPr="00675087">
        <w:rPr>
          <w:i/>
          <w:iCs/>
        </w:rPr>
        <w:t xml:space="preserve"> </w:t>
      </w:r>
      <w:r w:rsidRPr="00A63C55">
        <w:rPr>
          <w:i/>
          <w:iCs/>
        </w:rPr>
        <w:t>M</w:t>
      </w:r>
      <w:r w:rsidRPr="00A63C55">
        <w:rPr>
          <w:i/>
          <w:iCs/>
          <w:vertAlign w:val="subscript"/>
        </w:rPr>
        <w:t>j</w:t>
      </w:r>
      <w:r w:rsidRPr="00A63C55">
        <w:rPr>
          <w:i/>
          <w:iCs/>
        </w:rPr>
        <w:t>(0)</w:t>
      </w:r>
      <w:r>
        <w:t xml:space="preserve"> </w:t>
      </w:r>
      <w:r w:rsidRPr="00675087">
        <w:t>is estimated through calibration within predefined bounds derived from historical event data. Although the antecedent dry period is not explicitly modelled, its influence is implicitly captured in this parameter. Resuspension occurs only when the local bed shear stress</w:t>
      </w:r>
      <w:r>
        <w:t xml:space="preserve"> </w:t>
      </w:r>
      <w:r w:rsidRPr="00A63C55">
        <w:rPr>
          <w:i/>
          <w:iCs/>
          <w:lang w:val="el-GR"/>
        </w:rPr>
        <w:t>τ</w:t>
      </w:r>
      <w:r w:rsidRPr="00A63C55">
        <w:rPr>
          <w:i/>
          <w:iCs/>
          <w:vertAlign w:val="subscript"/>
        </w:rPr>
        <w:t>j</w:t>
      </w:r>
      <w:r w:rsidRPr="00A63C55">
        <w:rPr>
          <w:i/>
          <w:iCs/>
        </w:rPr>
        <w:t>(t)</w:t>
      </w:r>
      <w:r w:rsidRPr="00675087">
        <w:t>, obtained from the hydraulic simulation, exceeds the critical shear stress</w:t>
      </w:r>
      <w:r>
        <w:t xml:space="preserve"> </w:t>
      </w:r>
      <w:r w:rsidRPr="00A63C55">
        <w:rPr>
          <w:i/>
          <w:iCs/>
          <w:lang w:val="el-GR"/>
        </w:rPr>
        <w:t>τ</w:t>
      </w:r>
      <w:r w:rsidRPr="00A63C55">
        <w:rPr>
          <w:i/>
          <w:iCs/>
          <w:vertAlign w:val="subscript"/>
        </w:rPr>
        <w:t>crit,j</w:t>
      </w:r>
      <w:r w:rsidRPr="00A63C55">
        <w:rPr>
          <w:i/>
          <w:iCs/>
        </w:rPr>
        <w:t>(t)</w:t>
      </w:r>
      <w:r w:rsidRPr="00675087">
        <w:t xml:space="preserve">. The resuspended material is transported downstream using a Lagrangian shift based on hotspot-specific travel times, and the total TSS at the measurement location is obtained by superimposing all hotspot contributions onto the hydraulic model’s </w:t>
      </w:r>
      <w:r>
        <w:t>initial (“</w:t>
      </w:r>
      <w:r w:rsidRPr="00675087">
        <w:t>baseline</w:t>
      </w:r>
      <w:r>
        <w:t>”)</w:t>
      </w:r>
      <w:r w:rsidRPr="00675087">
        <w:t xml:space="preserve"> </w:t>
      </w:r>
      <w:r>
        <w:t xml:space="preserve">TSS </w:t>
      </w:r>
      <w:r w:rsidRPr="00675087">
        <w:t>prediction</w:t>
      </w:r>
      <w:r>
        <w:t>s</w:t>
      </w:r>
      <w:r w:rsidRPr="00675087">
        <w:t>.</w:t>
      </w:r>
    </w:p>
    <w:p w14:paraId="0D0892B3" w14:textId="24F5CF48" w:rsidR="000B5B12" w:rsidRPr="000B5B12" w:rsidRDefault="00A63C55" w:rsidP="000B5B12">
      <w:r>
        <w:t xml:space="preserve">In this study, </w:t>
      </w:r>
      <w:r w:rsidR="000B5B12" w:rsidRPr="000B5B12">
        <w:t>sediment heterogeneity was incorporated</w:t>
      </w:r>
      <w:r>
        <w:t xml:space="preserve"> in the LSR model</w:t>
      </w:r>
      <w:r w:rsidR="000B5B12" w:rsidRPr="000B5B12">
        <w:t xml:space="preserve"> by introducing sediment classes derived from PSD information collected in </w:t>
      </w:r>
      <w:r w:rsidR="00520186">
        <w:t>a</w:t>
      </w:r>
      <w:r w:rsidR="000B5B12" w:rsidRPr="000B5B12">
        <w:t xml:space="preserve"> case study</w:t>
      </w:r>
      <w:r w:rsidR="00520186">
        <w:t xml:space="preserve"> of combined sewer networks in China</w:t>
      </w:r>
      <w:r w:rsidR="000B5B12" w:rsidRPr="000B5B12">
        <w:t>.</w:t>
      </w:r>
      <w:r w:rsidR="00364D83">
        <w:t xml:space="preserve"> </w:t>
      </w:r>
      <w:r w:rsidR="00364D83" w:rsidRPr="00364D83">
        <w:t>Four classes were defined based on observed distributions: coarse (&gt;0.85 mm, 27%), medium (0.25–0.85 mm, 30%), fine (0.149–0.25 mm, 34%), and very fine (&lt;0.149 mm, 9%).</w:t>
      </w:r>
      <w:r w:rsidR="000B5B12" w:rsidRPr="000B5B12">
        <w:t xml:space="preserve"> </w:t>
      </w:r>
      <w:r w:rsidR="00364D83" w:rsidRPr="00364D83">
        <w:t>In this extended formulation, all governing equations retain their original structure but are evaluated separately for each sediment class</w:t>
      </w:r>
      <w:r w:rsidR="000B5B12" w:rsidRPr="000B5B12">
        <w:t xml:space="preserve"> </w:t>
      </w:r>
      <w:r w:rsidR="00520186" w:rsidRPr="00520186">
        <w:rPr>
          <w:i/>
          <w:iCs/>
        </w:rPr>
        <w:t>s</w:t>
      </w:r>
      <w:r w:rsidR="000B5B12" w:rsidRPr="000B5B12">
        <w:t>. The mass balance becomes:</w:t>
      </w:r>
    </w:p>
    <w:p w14:paraId="300E9050" w14:textId="34F03E86" w:rsidR="000B5B12" w:rsidRDefault="000B5B12" w:rsidP="00AE2885">
      <w:pPr>
        <w:jc w:val="right"/>
      </w:pPr>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j,s</m:t>
            </m:r>
          </m:sub>
        </m:sSub>
        <m:d>
          <m:dPr>
            <m:ctrlPr>
              <w:rPr>
                <w:rFonts w:ascii="Cambria Math" w:hAnsi="Cambria Math"/>
                <w:iCs/>
              </w:rPr>
            </m:ctrlPr>
          </m:dPr>
          <m:e>
            <m:r>
              <m:rPr>
                <m:sty m:val="p"/>
              </m:rPr>
              <w:rPr>
                <w:rFonts w:ascii="Cambria Math" w:hAnsi="Cambria Math"/>
              </w:rPr>
              <m:t>t</m:t>
            </m:r>
          </m:e>
        </m:d>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j,s</m:t>
            </m:r>
          </m:sub>
        </m:sSub>
        <m:d>
          <m:dPr>
            <m:ctrlPr>
              <w:rPr>
                <w:rFonts w:ascii="Cambria Math" w:hAnsi="Cambria Math"/>
                <w:iCs/>
              </w:rPr>
            </m:ctrlPr>
          </m:dPr>
          <m:e>
            <m:r>
              <m:rPr>
                <m:sty m:val="p"/>
              </m:rPr>
              <w:rPr>
                <w:rFonts w:ascii="Cambria Math" w:hAnsi="Cambria Math"/>
              </w:rPr>
              <m:t>t-1</m:t>
            </m:r>
          </m:e>
        </m:d>
        <m:r>
          <m:rPr>
            <m:sty m:val="p"/>
          </m:rPr>
          <w:rPr>
            <w:rFonts w:ascii="Cambria Math" w:hAnsi="Cambria Math"/>
          </w:rPr>
          <m:t>-AE</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j,s</m:t>
            </m:r>
          </m:sub>
        </m:sSub>
        <m:d>
          <m:dPr>
            <m:ctrlPr>
              <w:rPr>
                <w:rFonts w:ascii="Cambria Math" w:hAnsi="Cambria Math"/>
                <w:iCs/>
              </w:rPr>
            </m:ctrlPr>
          </m:dPr>
          <m:e>
            <m:r>
              <m:rPr>
                <m:sty m:val="p"/>
              </m:rPr>
              <w:rPr>
                <w:rFonts w:ascii="Cambria Math" w:hAnsi="Cambria Math"/>
              </w:rPr>
              <m:t>t</m:t>
            </m:r>
          </m:e>
        </m:d>
        <m:r>
          <m:rPr>
            <m:sty m:val="p"/>
          </m:rPr>
          <w:rPr>
            <w:rFonts w:ascii="Cambria Math" w:hAnsi="Cambria Math"/>
            <w:lang w:val="el-GR"/>
          </w:rPr>
          <m:t>Δ</m:t>
        </m:r>
        <m:r>
          <m:rPr>
            <m:sty m:val="p"/>
          </m:rPr>
          <w:rPr>
            <w:rFonts w:ascii="Cambria Math" w:hAnsi="Cambria Math"/>
          </w:rPr>
          <m:t>t</m:t>
        </m:r>
      </m:oMath>
      <w:r w:rsidRPr="00CD1416">
        <w:rPr>
          <w:iCs/>
        </w:rPr>
        <w:tab/>
      </w:r>
      <w:r w:rsidR="00AE2885">
        <w:rPr>
          <w:iCs/>
        </w:rPr>
        <w:tab/>
      </w:r>
      <w:r>
        <w:rPr>
          <w:iCs/>
        </w:rPr>
        <w:tab/>
        <w:t xml:space="preserve">    </w:t>
      </w:r>
      <w:r>
        <w:t xml:space="preserve">Equation </w:t>
      </w:r>
      <w:r w:rsidR="00364D83">
        <w:t>2</w:t>
      </w:r>
    </w:p>
    <w:p w14:paraId="625FD1A4" w14:textId="4173126E" w:rsidR="000B5B12" w:rsidRPr="000B5B12" w:rsidRDefault="000B5B12" w:rsidP="000B5B12">
      <w:r w:rsidRPr="000B5B12">
        <w:t>and the resuspension flux is updated accordingly:</w:t>
      </w:r>
    </w:p>
    <w:bookmarkStart w:id="0" w:name="_Ref207009525"/>
    <w:p w14:paraId="77A70D07" w14:textId="07456159" w:rsidR="000B5B12" w:rsidRPr="00215B87" w:rsidRDefault="000B5B12" w:rsidP="000B5B12">
      <w:pPr>
        <w:jc w:val="right"/>
        <w:rPr>
          <w:iCs/>
        </w:rPr>
      </w:pPr>
      <m:oMath>
        <m:sSub>
          <m:sSubPr>
            <m:ctrlPr>
              <w:rPr>
                <w:rFonts w:ascii="Cambria Math" w:hAnsi="Cambria Math"/>
                <w:iCs/>
              </w:rPr>
            </m:ctrlPr>
          </m:sSubPr>
          <m:e>
            <m:r>
              <m:rPr>
                <m:sty m:val="p"/>
              </m:rPr>
              <w:rPr>
                <w:rFonts w:ascii="Cambria Math" w:hAnsi="Cambria Math"/>
              </w:rPr>
              <m:t>J</m:t>
            </m:r>
          </m:e>
          <m:sub>
            <m:r>
              <m:rPr>
                <m:sty m:val="p"/>
              </m:rPr>
              <w:rPr>
                <w:rFonts w:ascii="Cambria Math" w:hAnsi="Cambria Math"/>
              </w:rPr>
              <m:t>LSR</m:t>
            </m:r>
          </m:sub>
        </m:sSub>
        <m:d>
          <m:dPr>
            <m:ctrlPr>
              <w:rPr>
                <w:rFonts w:ascii="Cambria Math" w:hAnsi="Cambria Math"/>
                <w:iCs/>
              </w:rPr>
            </m:ctrlPr>
          </m:dPr>
          <m:e>
            <m:r>
              <m:rPr>
                <m:sty m:val="p"/>
              </m:rP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s=1</m:t>
            </m:r>
          </m:sub>
          <m:sup>
            <m:sSub>
              <m:sSubPr>
                <m:ctrlPr>
                  <w:rPr>
                    <w:rFonts w:ascii="Cambria Math" w:hAnsi="Cambria Math"/>
                    <w:i/>
                  </w:rPr>
                </m:ctrlPr>
              </m:sSubPr>
              <m:e>
                <m:r>
                  <w:rPr>
                    <w:rFonts w:ascii="Cambria Math" w:hAnsi="Cambria Math"/>
                  </w:rPr>
                  <m:t>N</m:t>
                </m:r>
              </m:e>
              <m:sub>
                <m:r>
                  <w:rPr>
                    <w:rFonts w:ascii="Cambria Math" w:hAnsi="Cambria Math"/>
                  </w:rPr>
                  <m:t>classes</m:t>
                </m:r>
              </m:sub>
            </m:sSub>
          </m:sup>
          <m:e>
            <m:nary>
              <m:naryPr>
                <m:chr m:val="∑"/>
                <m:limLoc m:val="undOvr"/>
                <m:ctrlPr>
                  <w:rPr>
                    <w:rFonts w:ascii="Cambria Math" w:hAnsi="Cambria Math"/>
                    <w:iCs/>
                  </w:rPr>
                </m:ctrlPr>
              </m:naryPr>
              <m:sub>
                <m:r>
                  <m:rPr>
                    <m:sty m:val="p"/>
                  </m:rPr>
                  <w:rPr>
                    <w:rFonts w:ascii="Cambria Math" w:hAnsi="Cambria Math"/>
                  </w:rPr>
                  <m:t>j=1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hotspots</m:t>
                    </m:r>
                  </m:sub>
                </m:sSub>
              </m:sup>
              <m:e>
                <m:r>
                  <m:rPr>
                    <m:sty m:val="p"/>
                  </m:rPr>
                  <w:rPr>
                    <w:rFonts w:ascii="Cambria Math" w:hAnsi="Cambria Math"/>
                  </w:rPr>
                  <m:t>AE</m:t>
                </m:r>
                <m:sSub>
                  <m:sSubPr>
                    <m:ctrlPr>
                      <w:rPr>
                        <w:rFonts w:ascii="Cambria Math" w:hAnsi="Cambria Math"/>
                        <w:iCs/>
                      </w:rPr>
                    </m:ctrlPr>
                  </m:sSubPr>
                  <m:e>
                    <m:r>
                      <m:rPr>
                        <m:sty m:val="p"/>
                      </m:rPr>
                      <w:rPr>
                        <w:rFonts w:ascii="Cambria Math" w:hAnsi="Cambria Math"/>
                      </w:rPr>
                      <m:t>R</m:t>
                    </m:r>
                  </m:e>
                  <m:sub>
                    <m:r>
                      <m:rPr>
                        <m:sty m:val="p"/>
                      </m:rPr>
                      <w:rPr>
                        <w:rFonts w:ascii="Cambria Math" w:hAnsi="Cambria Math"/>
                      </w:rPr>
                      <m:t>j</m:t>
                    </m:r>
                  </m:sub>
                </m:sSub>
                <m:r>
                  <m:rPr>
                    <m:sty m:val="p"/>
                  </m:rPr>
                  <w:rPr>
                    <w:rFonts w:ascii="Cambria Math" w:hAnsi="Cambria Math"/>
                  </w:rPr>
                  <m:t>(t-</m:t>
                </m:r>
                <m:sSubSup>
                  <m:sSubSupPr>
                    <m:ctrlPr>
                      <w:rPr>
                        <w:rFonts w:ascii="Cambria Math" w:hAnsi="Cambria Math"/>
                        <w:iCs/>
                      </w:rPr>
                    </m:ctrlPr>
                  </m:sSubSupPr>
                  <m:e>
                    <m:r>
                      <m:rPr>
                        <m:sty m:val="p"/>
                      </m:rPr>
                      <w:rPr>
                        <w:rFonts w:ascii="Cambria Math" w:hAnsi="Cambria Math"/>
                      </w:rPr>
                      <m:t>t</m:t>
                    </m:r>
                  </m:e>
                  <m:sub>
                    <m:sSub>
                      <m:sSubPr>
                        <m:ctrlPr>
                          <w:rPr>
                            <w:rFonts w:ascii="Cambria Math" w:hAnsi="Cambria Math"/>
                            <w:iCs/>
                          </w:rPr>
                        </m:ctrlPr>
                      </m:sSubPr>
                      <m:e>
                        <m:r>
                          <m:rPr>
                            <m:sty m:val="p"/>
                          </m:rPr>
                          <w:rPr>
                            <w:rFonts w:ascii="Cambria Math" w:hAnsi="Cambria Math"/>
                          </w:rPr>
                          <m:t>j,</m:t>
                        </m:r>
                      </m:e>
                      <m:sub>
                        <m:r>
                          <m:rPr>
                            <m:sty m:val="p"/>
                          </m:rPr>
                          <w:rPr>
                            <w:rFonts w:ascii="Cambria Math" w:hAnsi="Cambria Math"/>
                          </w:rPr>
                          <m:t>ev</m:t>
                        </m:r>
                      </m:sub>
                    </m:sSub>
                  </m:sub>
                  <m:sup>
                    <m:r>
                      <m:rPr>
                        <m:sty m:val="p"/>
                      </m:rPr>
                      <w:rPr>
                        <w:rFonts w:ascii="Cambria Math" w:hAnsi="Cambria Math"/>
                      </w:rPr>
                      <m:t>*</m:t>
                    </m:r>
                  </m:sup>
                </m:sSubSup>
                <m:r>
                  <m:rPr>
                    <m:sty m:val="p"/>
                  </m:rPr>
                  <w:rPr>
                    <w:rFonts w:ascii="Cambria Math" w:hAnsi="Cambria Math"/>
                  </w:rPr>
                  <m:t>)</m:t>
                </m:r>
              </m:e>
            </m:nary>
          </m:e>
        </m:nary>
      </m:oMath>
      <w:r>
        <w:t xml:space="preserve">   </w:t>
      </w:r>
      <w:r w:rsidRPr="00215B87">
        <w:rPr>
          <w:iCs/>
        </w:rPr>
        <w:tab/>
      </w:r>
      <w:r w:rsidR="00AE2885">
        <w:rPr>
          <w:iCs/>
        </w:rPr>
        <w:tab/>
      </w:r>
      <w:r w:rsidR="00AE2885">
        <w:rPr>
          <w:iCs/>
        </w:rPr>
        <w:tab/>
      </w:r>
      <w:r>
        <w:t xml:space="preserve">Equation </w:t>
      </w:r>
      <w:bookmarkEnd w:id="0"/>
      <w:r w:rsidR="00364D83">
        <w:t>3</w:t>
      </w:r>
    </w:p>
    <w:p w14:paraId="46992BEC" w14:textId="6B4F4073" w:rsidR="001C63BE" w:rsidRDefault="000B5B12" w:rsidP="001C63BE">
      <w:r w:rsidRPr="000B5B12">
        <w:t>allowing erosion thresholds and kinetics to reflect intrinsic material properties.</w:t>
      </w:r>
    </w:p>
    <w:p w14:paraId="2A0DF643" w14:textId="323E9982" w:rsidR="00AE48E1" w:rsidRDefault="00AE48E1" w:rsidP="00AE48E1">
      <w:r w:rsidRPr="00520186">
        <w:t>This study evaluates these developments using high-resolution hydraulic and TSS data from a combined sewer catchment in Dresden, Germany.</w:t>
      </w:r>
    </w:p>
    <w:p w14:paraId="427A45F9" w14:textId="49F75E32" w:rsidR="00AE48E1" w:rsidRDefault="00AE48E1" w:rsidP="000B5B12">
      <w:r w:rsidRPr="00AE48E1">
        <w:t>Model calibration was performed independently for each wet-weather event using the Particle Swarm Optimization (PSO) algorithm, applied to 16 calibration events where the observations indicated potential for resuspension. Model performance was assessed using the Peak-Weighted Dynamic Time Warping (PW-DTW) metric, a novel extension of DTW developed to emphasize the accurate reproduction of resuspension-driven TSS peaks. The calibrated parameters were then evaluated on 10 independent verification events, also selected based on observed indications of resuspension, to assess model robustness and transferability</w:t>
      </w:r>
      <w:r w:rsidRPr="00E6104C">
        <w:t>.</w:t>
      </w:r>
    </w:p>
    <w:p w14:paraId="51D0A164" w14:textId="393782F0" w:rsidR="000B5B12" w:rsidRDefault="000B5B12" w:rsidP="000B5B12">
      <w:r w:rsidRPr="000B5B12">
        <w:t xml:space="preserve">Stochasticity is introduced in two parts of the </w:t>
      </w:r>
      <w:r w:rsidR="00AE48E1">
        <w:t>LSR model</w:t>
      </w:r>
      <w:r w:rsidRPr="000B5B12">
        <w:t xml:space="preserve">. First, uncertainty in erosion thresholds is represented by sampling </w:t>
      </w:r>
      <w:r w:rsidR="00AE48E1">
        <w:t>values</w:t>
      </w:r>
      <w:r w:rsidRPr="000B5B12">
        <w:t xml:space="preserve"> of</w:t>
      </w:r>
      <w:r w:rsidR="00520186">
        <w:t xml:space="preserve"> </w:t>
      </w:r>
      <w:r w:rsidR="00520186" w:rsidRPr="00A63C55">
        <w:rPr>
          <w:i/>
          <w:iCs/>
          <w:lang w:val="el-GR"/>
        </w:rPr>
        <w:t>τ</w:t>
      </w:r>
      <w:r w:rsidR="00520186" w:rsidRPr="00A63C55">
        <w:rPr>
          <w:i/>
          <w:iCs/>
          <w:vertAlign w:val="subscript"/>
        </w:rPr>
        <w:t>crit,j</w:t>
      </w:r>
      <w:r w:rsidRPr="000B5B12">
        <w:t xml:space="preserve"> from calibrated distributions for each event. Second, hotspot activation is treated probabilistically, acknowledging that not all hotspots contribute during every rainfall event.</w:t>
      </w:r>
    </w:p>
    <w:p w14:paraId="7BCCB9A6" w14:textId="32827A3B" w:rsidR="00C221F1" w:rsidRDefault="00C221F1" w:rsidP="00520186">
      <w:r w:rsidRPr="00C221F1">
        <w:t>A model</w:t>
      </w:r>
      <w:r>
        <w:t xml:space="preserve"> </w:t>
      </w:r>
      <w:r w:rsidRPr="00C221F1">
        <w:t xml:space="preserve">structure scenario analysis was performed to evaluate how increasing parameter heterogeneity influences the representation of resuspension processes. A separate PSD scenario analysis assessed the model’s sensitivity to sediment composition by testing alternative coarse-, medium-, and </w:t>
      </w:r>
      <w:r>
        <w:t xml:space="preserve">fine and very </w:t>
      </w:r>
      <w:r w:rsidRPr="00C221F1">
        <w:t>fine-dominated particle size distributions.</w:t>
      </w:r>
    </w:p>
    <w:p w14:paraId="1BAD2118" w14:textId="52B9F313" w:rsidR="00C31BFD" w:rsidRDefault="00FA65E4" w:rsidP="00FA65E4">
      <w:pPr>
        <w:pStyle w:val="Heading1"/>
      </w:pPr>
      <w:r>
        <w:t>Results and Discussion</w:t>
      </w:r>
    </w:p>
    <w:p w14:paraId="692A6BF9" w14:textId="586357AB" w:rsidR="00C57256" w:rsidRPr="00C57256" w:rsidRDefault="00E44DE5" w:rsidP="00264F42">
      <w:r w:rsidRPr="00E44DE5">
        <w:t xml:space="preserve">Across the new case study, the hydraulic analysis identified 10 sediment accumulation hotspots distributed throughout the system. The performance of the LSR model on two example verification events is shown in </w:t>
      </w:r>
      <w:r w:rsidR="00E91CE1">
        <w:fldChar w:fldCharType="begin"/>
      </w:r>
      <w:r w:rsidR="00E91CE1">
        <w:instrText xml:space="preserve"> REF _Ref216276544 \h </w:instrText>
      </w:r>
      <w:r w:rsidR="00E91CE1">
        <w:fldChar w:fldCharType="separate"/>
      </w:r>
      <w:r w:rsidR="00E91CE1">
        <w:t xml:space="preserve">Figure </w:t>
      </w:r>
      <w:r w:rsidR="00E91CE1">
        <w:rPr>
          <w:noProof/>
        </w:rPr>
        <w:t>1</w:t>
      </w:r>
      <w:r w:rsidR="00E91CE1">
        <w:fldChar w:fldCharType="end"/>
      </w:r>
      <w:r w:rsidRPr="00E44DE5">
        <w:t>. In these events, the model successfully captured the presence of the TSS peaks, reflecting the dominant pollutant dynamics driven by resuspension. Some discrepancies remained in the exact timing and magnitude of the peaks, yet the general event-scale behaviour was reproduced with reasonable agreement. These results indicate that the hotspot-driven formulation of the LSR model is transferable and capable of describing resuspension-driven pollutant responses in sewer systems beyond the original case study.</w:t>
      </w:r>
    </w:p>
    <w:p w14:paraId="47E4C7FE" w14:textId="77777777" w:rsidR="004A18F1" w:rsidRDefault="00264F42" w:rsidP="004A18F1">
      <w:pPr>
        <w:keepNext/>
      </w:pPr>
      <w:r>
        <w:rPr>
          <w:noProof/>
        </w:rPr>
        <w:drawing>
          <wp:inline distT="0" distB="0" distL="0" distR="0" wp14:anchorId="0B4A03C6" wp14:editId="5F256430">
            <wp:extent cx="5727406" cy="1406829"/>
            <wp:effectExtent l="0" t="0" r="6985" b="3175"/>
            <wp:docPr id="786094594" name="Picture 1"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94594" name="Picture 1" descr="A close-up of a graph&#10;&#10;AI-generated content may be incorrect."/>
                    <pic:cNvPicPr/>
                  </pic:nvPicPr>
                  <pic:blipFill rotWithShape="1">
                    <a:blip r:embed="rId8" cstate="print">
                      <a:extLst>
                        <a:ext uri="{28A0092B-C50C-407E-A947-70E740481C1C}">
                          <a14:useLocalDpi xmlns:a14="http://schemas.microsoft.com/office/drawing/2010/main" val="0"/>
                        </a:ext>
                      </a:extLst>
                    </a:blip>
                    <a:srcRect t="11226" b="6017"/>
                    <a:stretch>
                      <a:fillRect/>
                    </a:stretch>
                  </pic:blipFill>
                  <pic:spPr bwMode="auto">
                    <a:xfrm>
                      <a:off x="0" y="0"/>
                      <a:ext cx="5730252" cy="1407528"/>
                    </a:xfrm>
                    <a:prstGeom prst="rect">
                      <a:avLst/>
                    </a:prstGeom>
                    <a:ln>
                      <a:noFill/>
                    </a:ln>
                    <a:extLst>
                      <a:ext uri="{53640926-AAD7-44D8-BBD7-CCE9431645EC}">
                        <a14:shadowObscured xmlns:a14="http://schemas.microsoft.com/office/drawing/2010/main"/>
                      </a:ext>
                    </a:extLst>
                  </pic:spPr>
                </pic:pic>
              </a:graphicData>
            </a:graphic>
          </wp:inline>
        </w:drawing>
      </w:r>
    </w:p>
    <w:p w14:paraId="07EEB750" w14:textId="047674D2" w:rsidR="004A18F1" w:rsidRDefault="004A18F1" w:rsidP="004A18F1">
      <w:pPr>
        <w:pStyle w:val="Legendes"/>
      </w:pPr>
      <w:bookmarkStart w:id="1" w:name="_Ref216276544"/>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6E521A">
        <w:t>Observed (black), baseline predicted (blue), and LSR predicted (red) TSS profiles for events 14 (left) and 30 (right).</w:t>
      </w:r>
    </w:p>
    <w:p w14:paraId="23069ED4" w14:textId="383148DA" w:rsidR="00264F42" w:rsidRDefault="00E44DE5" w:rsidP="00264F42">
      <w:r w:rsidRPr="00E44DE5">
        <w:t>Introducing sediment classes revealed additional dynamics in the behaviour of the LSR model</w:t>
      </w:r>
      <w:r w:rsidR="00E91CE1">
        <w:t xml:space="preserve"> </w:t>
      </w:r>
      <w:r w:rsidR="00E91CE1">
        <w:fldChar w:fldCharType="begin"/>
      </w:r>
      <w:r w:rsidR="00E91CE1">
        <w:instrText xml:space="preserve"> REF _Ref216276555 \h </w:instrText>
      </w:r>
      <w:r w:rsidR="00E91CE1">
        <w:fldChar w:fldCharType="separate"/>
      </w:r>
      <w:r w:rsidR="00E91CE1">
        <w:t xml:space="preserve">Figure </w:t>
      </w:r>
      <w:r w:rsidR="00E91CE1">
        <w:rPr>
          <w:noProof/>
        </w:rPr>
        <w:t>2</w:t>
      </w:r>
      <w:r w:rsidR="00E91CE1">
        <w:fldChar w:fldCharType="end"/>
      </w:r>
      <w:r w:rsidRPr="00E44DE5">
        <w:t xml:space="preserve">. By evaluating erosion thresholds and kinetics separately for coarse, medium, fine, and very fine fractions, the extended formulation produced a more differentiated distribution of resuspension fluxes and highlighted distinct </w:t>
      </w:r>
      <w:r w:rsidRPr="00E44DE5">
        <w:t>mobilization</w:t>
      </w:r>
      <w:r w:rsidRPr="00E44DE5">
        <w:t xml:space="preserve"> patterns across sediment classes. Event-level analyses showed clear separation in how different fractions responded to hydraulic forcing, providing a more detailed representation of peak formation mechanisms. These findings indicate that sediment heterogeneity, and particularly differences in erodibility across PSD fractions, plays an important role in shaping TSS responses during wet-weather events.</w:t>
      </w:r>
    </w:p>
    <w:p w14:paraId="00F46D58" w14:textId="77777777" w:rsidR="004A18F1" w:rsidRDefault="00264F42" w:rsidP="004A18F1">
      <w:pPr>
        <w:keepNext/>
      </w:pPr>
      <w:r>
        <w:rPr>
          <w:noProof/>
        </w:rPr>
        <w:lastRenderedPageBreak/>
        <w:drawing>
          <wp:inline distT="0" distB="0" distL="0" distR="0" wp14:anchorId="0E4CCE76" wp14:editId="67EFBE7E">
            <wp:extent cx="5730228" cy="1414732"/>
            <wp:effectExtent l="0" t="0" r="4445" b="0"/>
            <wp:docPr id="859691711" name="Picture 4"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691711" name="Picture 4" descr="A close-up of a graph&#10;&#10;AI-generated content may be incorrect."/>
                    <pic:cNvPicPr/>
                  </pic:nvPicPr>
                  <pic:blipFill rotWithShape="1">
                    <a:blip r:embed="rId9" cstate="print">
                      <a:extLst>
                        <a:ext uri="{28A0092B-C50C-407E-A947-70E740481C1C}">
                          <a14:useLocalDpi xmlns:a14="http://schemas.microsoft.com/office/drawing/2010/main" val="0"/>
                        </a:ext>
                      </a:extLst>
                    </a:blip>
                    <a:srcRect t="11341" b="7772"/>
                    <a:stretch>
                      <a:fillRect/>
                    </a:stretch>
                  </pic:blipFill>
                  <pic:spPr bwMode="auto">
                    <a:xfrm>
                      <a:off x="0" y="0"/>
                      <a:ext cx="5731510" cy="1415049"/>
                    </a:xfrm>
                    <a:prstGeom prst="rect">
                      <a:avLst/>
                    </a:prstGeom>
                    <a:ln>
                      <a:noFill/>
                    </a:ln>
                    <a:extLst>
                      <a:ext uri="{53640926-AAD7-44D8-BBD7-CCE9431645EC}">
                        <a14:shadowObscured xmlns:a14="http://schemas.microsoft.com/office/drawing/2010/main"/>
                      </a:ext>
                    </a:extLst>
                  </pic:spPr>
                </pic:pic>
              </a:graphicData>
            </a:graphic>
          </wp:inline>
        </w:drawing>
      </w:r>
    </w:p>
    <w:p w14:paraId="6EE13008" w14:textId="47CF504A" w:rsidR="00264F42" w:rsidRDefault="004A18F1" w:rsidP="004A18F1">
      <w:pPr>
        <w:pStyle w:val="Legendes"/>
      </w:pPr>
      <w:bookmarkStart w:id="2" w:name="_Ref216276555"/>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DC1632">
        <w:t xml:space="preserve">Observed (black), baseline predicted (blue), and LSR predicted TSS profiles decomposed into four sediment classes (coarse: orange, medium: green, fine: purple, very fine: cyan) </w:t>
      </w:r>
      <w:r w:rsidRPr="006E521A">
        <w:t>for events 14 (left) and 30 (right).</w:t>
      </w:r>
    </w:p>
    <w:p w14:paraId="25F98F31" w14:textId="40CDF97D" w:rsidR="00E17E18" w:rsidRDefault="00E44DE5" w:rsidP="00264F42">
      <w:r w:rsidRPr="00E44DE5">
        <w:t xml:space="preserve">Moreover, evaluation of different levels of model-structure complexity showed that the formulation in which each sediment class is assigned its own erosion threshold and erosion kinetics consistently ranked among the best-performing structures across the </w:t>
      </w:r>
      <w:r w:rsidRPr="00E44DE5">
        <w:t>analyzed</w:t>
      </w:r>
      <w:r w:rsidRPr="00E44DE5">
        <w:t xml:space="preserve"> events. Formulations that assumed a single uniform sediment type were able to reproduce some events reasonably well, but their performance was more variable, whereas the class-specific structure provided a more stable description of event-scale behaviour. This pattern indicates that incorporating both spatial heterogeneity (hotspots) and material heterogeneity (sediment classes with distinct erodibility) yields a more robust representation of resuspension processes.</w:t>
      </w:r>
    </w:p>
    <w:p w14:paraId="7C180F43" w14:textId="7329EDE8" w:rsidR="004A18F1" w:rsidRDefault="004A18F1" w:rsidP="00264F42">
      <w:r w:rsidRPr="004A18F1">
        <w:t xml:space="preserve">Finally, the PSD scenario analysis highlighted the sensitivity of the LSR model to sediment composition. Testing four plausible PSD splits revealed distinct </w:t>
      </w:r>
      <w:r w:rsidRPr="004A18F1">
        <w:t>mobilization</w:t>
      </w:r>
      <w:r w:rsidRPr="004A18F1">
        <w:t xml:space="preserve"> behaviour, with coarse-dominated scenarios producing sharper and earlier peaks, whereas fine-dominated scenarios generated smoother and more prolonged responses. The reference PSD scenario provided the most balanced agreement across events, while the more extreme scenarios demonstrated how deviations in sediment composition can propagate into event-scale TSS predictions. These differences indicate that the model responds strongly to how sediment mass is distributed across particle size classes within hotspot locations.</w:t>
      </w:r>
    </w:p>
    <w:p w14:paraId="68CFBD30" w14:textId="5DF3C2DA" w:rsidR="004A18F1" w:rsidRPr="00E44DE5" w:rsidRDefault="004A18F1" w:rsidP="00264F42">
      <w:r w:rsidRPr="004A18F1">
        <w:t>This sensitivity underscores the importance of case-specific PSD information where available, but also shows that scenario testing can offer insight into likely catchment conditions when such measurements are lacking. In the present study, the results point to a sediment composition that is predominantly medium- to fine-dominated, with coarse fractions contributing only marginally. Such distributions are typical in urban environments, where road dust and traffic-related particles (e.g., tyre and brake wear, pavement abrasion) represent major sources, and may also reflect in-sewer processes that favour the retention of coarse particles upstream (e.g., in gully pots) while allowing medium and fine fractions to accumulate and later resuspend. At the same time, the relatively strong performance of the reference PSD</w:t>
      </w:r>
      <w:r>
        <w:t xml:space="preserve">, </w:t>
      </w:r>
      <w:r w:rsidRPr="004A18F1">
        <w:t>despite being imported from another system</w:t>
      </w:r>
      <w:r>
        <w:t xml:space="preserve">, </w:t>
      </w:r>
      <w:r w:rsidRPr="004A18F1">
        <w:t>indicates that external distributions can approximate local conditions in some cases. Nonetheless, relying on a single assumed PSD remains uncertain, and exploring a range of plausible compositions provides a more robust basis for representing system behaviour in the absence of local measurements.</w:t>
      </w:r>
    </w:p>
    <w:p w14:paraId="5BDB5D46" w14:textId="663097A1" w:rsidR="00C31BFD" w:rsidRDefault="00264F42" w:rsidP="005667E5">
      <w:pPr>
        <w:pStyle w:val="Heading1"/>
      </w:pPr>
      <w:r>
        <w:t>Conclusion</w:t>
      </w:r>
    </w:p>
    <w:p w14:paraId="12BEAFEC" w14:textId="4F7E06DA" w:rsidR="00C31BFD" w:rsidRPr="00D3758C" w:rsidRDefault="004A18F1" w:rsidP="005667E5">
      <w:r w:rsidRPr="004A18F1">
        <w:t>This study demonstrated that the principles of the LSR model remain valid when applied to a new catchment with different hydraulic and network conditions. Incorporating sediment classes revealed additional mobilisation dynamics and provided a more physically grounded representation of resuspension behaviour. The combined assessment of model transferability, structural complexity, and PSD sensitivity highlights the importance of accounting for both spatial and material heterogeneity when predicting TSS peaks in combined sewer systems.</w:t>
      </w:r>
    </w:p>
    <w:p w14:paraId="386FA569" w14:textId="61F913CF" w:rsidR="00C31BFD" w:rsidRPr="00CA2DE9" w:rsidRDefault="006A683B" w:rsidP="00E91CE1">
      <w:pPr>
        <w:pStyle w:val="0TitleTitre"/>
        <w:ind w:left="0"/>
      </w:pPr>
      <w:r w:rsidRPr="00CA2DE9">
        <w:t>LIST OF REFERENCES</w:t>
      </w:r>
    </w:p>
    <w:sdt>
      <w:sdtPr>
        <w:rPr>
          <w:rFonts w:cstheme="minorHAnsi"/>
          <w:color w:val="000000"/>
        </w:rPr>
        <w:tag w:val="MENDELEY_BIBLIOGRAPHY"/>
        <w:id w:val="820080394"/>
        <w:placeholder>
          <w:docPart w:val="DefaultPlaceholder_-1854013440"/>
        </w:placeholder>
      </w:sdtPr>
      <w:sdtContent>
        <w:p w14:paraId="3C1AD762" w14:textId="77777777" w:rsidR="00D3758C" w:rsidRPr="00D3758C" w:rsidRDefault="00D3758C">
          <w:pPr>
            <w:autoSpaceDE w:val="0"/>
            <w:autoSpaceDN w:val="0"/>
            <w:ind w:hanging="480"/>
            <w:divId w:val="1464040898"/>
            <w:rPr>
              <w:color w:val="000000"/>
              <w:sz w:val="18"/>
              <w:szCs w:val="18"/>
            </w:rPr>
          </w:pPr>
          <w:r w:rsidRPr="00D3758C">
            <w:rPr>
              <w:color w:val="000000"/>
              <w:sz w:val="14"/>
              <w:szCs w:val="18"/>
              <w:lang w:val="da-DK"/>
            </w:rPr>
            <w:t xml:space="preserve">Chrysochoidis, V., Gruber, G., Hofer, T., Mikkelsen, P. S., &amp; Vezzaro, L. (2025). </w:t>
          </w:r>
          <w:r w:rsidRPr="00D3758C">
            <w:rPr>
              <w:color w:val="000000"/>
              <w:sz w:val="14"/>
              <w:szCs w:val="18"/>
            </w:rPr>
            <w:t xml:space="preserve">Rethinking modelling of particulate pollutants in combined sewer overflows (CSOs): A focus on model structure. </w:t>
          </w:r>
          <w:r w:rsidRPr="00D3758C">
            <w:rPr>
              <w:i/>
              <w:iCs/>
              <w:color w:val="000000"/>
              <w:sz w:val="14"/>
              <w:szCs w:val="18"/>
            </w:rPr>
            <w:t>Journal of Hydrology</w:t>
          </w:r>
          <w:r w:rsidRPr="00D3758C">
            <w:rPr>
              <w:color w:val="000000"/>
              <w:sz w:val="14"/>
              <w:szCs w:val="18"/>
            </w:rPr>
            <w:t xml:space="preserve">, </w:t>
          </w:r>
          <w:r w:rsidRPr="00D3758C">
            <w:rPr>
              <w:i/>
              <w:iCs/>
              <w:color w:val="000000"/>
              <w:sz w:val="14"/>
              <w:szCs w:val="18"/>
            </w:rPr>
            <w:t>659</w:t>
          </w:r>
          <w:r w:rsidRPr="00D3758C">
            <w:rPr>
              <w:color w:val="000000"/>
              <w:sz w:val="14"/>
              <w:szCs w:val="18"/>
            </w:rPr>
            <w:t>, 133239. https://doi.org/https://doi.org/10.1016/j.jhydrol.2025.133239</w:t>
          </w:r>
        </w:p>
        <w:p w14:paraId="6CC5A676" w14:textId="77777777" w:rsidR="00D3758C" w:rsidRPr="00D3758C" w:rsidRDefault="00D3758C">
          <w:pPr>
            <w:autoSpaceDE w:val="0"/>
            <w:autoSpaceDN w:val="0"/>
            <w:ind w:hanging="480"/>
            <w:divId w:val="1766614461"/>
            <w:rPr>
              <w:color w:val="000000"/>
              <w:sz w:val="14"/>
              <w:szCs w:val="18"/>
            </w:rPr>
          </w:pPr>
          <w:r w:rsidRPr="00D3758C">
            <w:rPr>
              <w:color w:val="000000"/>
              <w:sz w:val="14"/>
              <w:szCs w:val="18"/>
            </w:rPr>
            <w:t xml:space="preserve">Gao, Y., Shi, X., Jin, X., Wang, X. C., &amp; Jin, P. (2023). A critical review of wastewater quality variation and in-sewer processes during conveyance in sewer systems. </w:t>
          </w:r>
          <w:r w:rsidRPr="00D3758C">
            <w:rPr>
              <w:i/>
              <w:iCs/>
              <w:color w:val="000000"/>
              <w:sz w:val="14"/>
              <w:szCs w:val="18"/>
            </w:rPr>
            <w:t>Water Research</w:t>
          </w:r>
          <w:r w:rsidRPr="00D3758C">
            <w:rPr>
              <w:color w:val="000000"/>
              <w:sz w:val="14"/>
              <w:szCs w:val="18"/>
            </w:rPr>
            <w:t xml:space="preserve">, </w:t>
          </w:r>
          <w:r w:rsidRPr="00D3758C">
            <w:rPr>
              <w:i/>
              <w:iCs/>
              <w:color w:val="000000"/>
              <w:sz w:val="14"/>
              <w:szCs w:val="18"/>
            </w:rPr>
            <w:t>228</w:t>
          </w:r>
          <w:r w:rsidRPr="00D3758C">
            <w:rPr>
              <w:color w:val="000000"/>
              <w:sz w:val="14"/>
              <w:szCs w:val="18"/>
            </w:rPr>
            <w:t>, 119398. https://doi.org/https://doi.org/10.1016/j.watres.2022.119398</w:t>
          </w:r>
        </w:p>
        <w:p w14:paraId="758FF13A" w14:textId="77777777" w:rsidR="00D3758C" w:rsidRPr="00D3758C" w:rsidRDefault="00D3758C">
          <w:pPr>
            <w:autoSpaceDE w:val="0"/>
            <w:autoSpaceDN w:val="0"/>
            <w:ind w:hanging="480"/>
            <w:divId w:val="1822842701"/>
            <w:rPr>
              <w:color w:val="000000"/>
              <w:sz w:val="14"/>
              <w:szCs w:val="18"/>
            </w:rPr>
          </w:pPr>
          <w:r w:rsidRPr="00D3758C">
            <w:rPr>
              <w:color w:val="000000"/>
              <w:sz w:val="14"/>
              <w:szCs w:val="18"/>
            </w:rPr>
            <w:t xml:space="preserve">Gasperi, J., Garnaud, S., Rocher, V., &amp; Moilleron, R. (2008). Priority pollutants in wastewater and combined sewer overflow. </w:t>
          </w:r>
          <w:r w:rsidRPr="00D3758C">
            <w:rPr>
              <w:i/>
              <w:iCs/>
              <w:color w:val="000000"/>
              <w:sz w:val="14"/>
              <w:szCs w:val="18"/>
            </w:rPr>
            <w:t>The Science of the Total Environment</w:t>
          </w:r>
          <w:r w:rsidRPr="00D3758C">
            <w:rPr>
              <w:color w:val="000000"/>
              <w:sz w:val="14"/>
              <w:szCs w:val="18"/>
            </w:rPr>
            <w:t xml:space="preserve">, </w:t>
          </w:r>
          <w:r w:rsidRPr="00D3758C">
            <w:rPr>
              <w:i/>
              <w:iCs/>
              <w:color w:val="000000"/>
              <w:sz w:val="14"/>
              <w:szCs w:val="18"/>
            </w:rPr>
            <w:t>407</w:t>
          </w:r>
          <w:r w:rsidRPr="00D3758C">
            <w:rPr>
              <w:color w:val="000000"/>
              <w:sz w:val="14"/>
              <w:szCs w:val="18"/>
            </w:rPr>
            <w:t>, 263–272. https://doi.org/10.1016/j.scitotenv.2008.08.015</w:t>
          </w:r>
        </w:p>
        <w:p w14:paraId="2E2641B9" w14:textId="77777777" w:rsidR="00D3758C" w:rsidRPr="00D3758C" w:rsidRDefault="00D3758C">
          <w:pPr>
            <w:autoSpaceDE w:val="0"/>
            <w:autoSpaceDN w:val="0"/>
            <w:ind w:hanging="480"/>
            <w:divId w:val="1185709312"/>
            <w:rPr>
              <w:color w:val="000000"/>
              <w:sz w:val="14"/>
              <w:szCs w:val="18"/>
            </w:rPr>
          </w:pPr>
          <w:r w:rsidRPr="00D3758C">
            <w:rPr>
              <w:color w:val="000000"/>
              <w:sz w:val="14"/>
              <w:szCs w:val="18"/>
            </w:rPr>
            <w:t xml:space="preserve">Perry, W. B., Ahmadian, R., Munday, M., Jones, O., Ormerod, S. J., &amp; Durance, I. (2024). Addressing the challenges of combined sewer overflows. </w:t>
          </w:r>
          <w:r w:rsidRPr="00D3758C">
            <w:rPr>
              <w:i/>
              <w:iCs/>
              <w:color w:val="000000"/>
              <w:sz w:val="14"/>
              <w:szCs w:val="18"/>
            </w:rPr>
            <w:t>Environmental Pollution</w:t>
          </w:r>
          <w:r w:rsidRPr="00D3758C">
            <w:rPr>
              <w:color w:val="000000"/>
              <w:sz w:val="14"/>
              <w:szCs w:val="18"/>
            </w:rPr>
            <w:t xml:space="preserve">, </w:t>
          </w:r>
          <w:r w:rsidRPr="00D3758C">
            <w:rPr>
              <w:i/>
              <w:iCs/>
              <w:color w:val="000000"/>
              <w:sz w:val="14"/>
              <w:szCs w:val="18"/>
            </w:rPr>
            <w:t>343</w:t>
          </w:r>
          <w:r w:rsidRPr="00D3758C">
            <w:rPr>
              <w:color w:val="000000"/>
              <w:sz w:val="14"/>
              <w:szCs w:val="18"/>
            </w:rPr>
            <w:t>, 123225. https://doi.org/https://doi.org/10.1016/j.envpol.2023.123225</w:t>
          </w:r>
        </w:p>
        <w:p w14:paraId="3DECA3E6" w14:textId="0CB40F3B" w:rsidR="00F91C97" w:rsidRPr="005D6F11" w:rsidRDefault="00D3758C" w:rsidP="00885554">
          <w:pPr>
            <w:spacing w:before="60"/>
            <w:ind w:left="284" w:hanging="284"/>
            <w:rPr>
              <w:rFonts w:cstheme="minorHAnsi"/>
            </w:rPr>
          </w:pPr>
          <w:r w:rsidRPr="00D3758C">
            <w:rPr>
              <w:color w:val="000000"/>
            </w:rPr>
            <w:t> </w:t>
          </w:r>
        </w:p>
      </w:sdtContent>
    </w:sdt>
    <w:sectPr w:rsidR="00F91C97" w:rsidRPr="005D6F11" w:rsidSect="00406F9D">
      <w:headerReference w:type="even" r:id="rId10"/>
      <w:headerReference w:type="default" r:id="rId11"/>
      <w:footerReference w:type="even" r:id="rId12"/>
      <w:footerReference w:type="default" r:id="rId13"/>
      <w:pgSz w:w="11906" w:h="16838" w:code="9"/>
      <w:pgMar w:top="1417" w:right="1417" w:bottom="1417" w:left="1417" w:header="850" w:footer="850" w:gutter="0"/>
      <w:paperSrc w:firs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CCFBC" w14:textId="77777777" w:rsidR="00711803" w:rsidRPr="00CA2DE9" w:rsidRDefault="00711803" w:rsidP="005667E5">
      <w:r w:rsidRPr="00CA2DE9">
        <w:separator/>
      </w:r>
    </w:p>
    <w:p w14:paraId="018A437B" w14:textId="77777777" w:rsidR="00711803" w:rsidRPr="00CA2DE9" w:rsidRDefault="00711803"/>
  </w:endnote>
  <w:endnote w:type="continuationSeparator" w:id="0">
    <w:p w14:paraId="599C5544" w14:textId="77777777" w:rsidR="00711803" w:rsidRPr="00CA2DE9" w:rsidRDefault="00711803" w:rsidP="005667E5">
      <w:r w:rsidRPr="00CA2DE9">
        <w:continuationSeparator/>
      </w:r>
    </w:p>
    <w:p w14:paraId="5D7FF8C4" w14:textId="77777777" w:rsidR="00711803" w:rsidRPr="00CA2DE9" w:rsidRDefault="00711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30E8" w14:textId="77777777" w:rsidR="00370415" w:rsidRPr="00CA2DE9" w:rsidRDefault="00370415" w:rsidP="00786072">
    <w:pPr>
      <w:pBdr>
        <w:top w:val="single" w:sz="4" w:space="1" w:color="auto"/>
      </w:pBdr>
      <w:jc w:val="left"/>
      <w:rPr>
        <w:sz w:val="16"/>
      </w:rPr>
    </w:pPr>
    <w:r w:rsidRPr="00CA2DE9">
      <w:rPr>
        <w:sz w:val="16"/>
      </w:rPr>
      <w:fldChar w:fldCharType="begin"/>
    </w:r>
    <w:r w:rsidRPr="00CA2DE9">
      <w:rPr>
        <w:sz w:val="16"/>
      </w:rPr>
      <w:instrText xml:space="preserve"> PAGE </w:instrText>
    </w:r>
    <w:r w:rsidRPr="00CA2DE9">
      <w:rPr>
        <w:sz w:val="16"/>
      </w:rPr>
      <w:fldChar w:fldCharType="separate"/>
    </w:r>
    <w:r w:rsidR="000A7243" w:rsidRPr="00CA2DE9">
      <w:rPr>
        <w:sz w:val="16"/>
      </w:rPr>
      <w:t>2</w:t>
    </w:r>
    <w:r w:rsidRPr="00CA2DE9">
      <w:rPr>
        <w:sz w:val="16"/>
      </w:rPr>
      <w:fldChar w:fldCharType="end"/>
    </w:r>
  </w:p>
  <w:p w14:paraId="548FF937" w14:textId="77777777" w:rsidR="007C5057" w:rsidRPr="00CA2DE9" w:rsidRDefault="007C50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01EB9" w14:textId="77777777" w:rsidR="00370415" w:rsidRPr="00CA2DE9" w:rsidRDefault="00370415" w:rsidP="007073B8">
    <w:pPr>
      <w:pBdr>
        <w:top w:val="single" w:sz="4" w:space="1" w:color="auto"/>
      </w:pBdr>
      <w:jc w:val="right"/>
      <w:rPr>
        <w:sz w:val="16"/>
      </w:rPr>
    </w:pPr>
    <w:r w:rsidRPr="00CA2DE9">
      <w:rPr>
        <w:sz w:val="16"/>
      </w:rPr>
      <w:fldChar w:fldCharType="begin"/>
    </w:r>
    <w:r w:rsidRPr="00CA2DE9">
      <w:rPr>
        <w:sz w:val="16"/>
      </w:rPr>
      <w:instrText xml:space="preserve"> PAGE </w:instrText>
    </w:r>
    <w:r w:rsidRPr="00CA2DE9">
      <w:rPr>
        <w:sz w:val="16"/>
      </w:rPr>
      <w:fldChar w:fldCharType="separate"/>
    </w:r>
    <w:r w:rsidR="000A7243" w:rsidRPr="00CA2DE9">
      <w:rPr>
        <w:sz w:val="16"/>
      </w:rPr>
      <w:t>1</w:t>
    </w:r>
    <w:r w:rsidRPr="00CA2DE9">
      <w:rPr>
        <w:sz w:val="16"/>
      </w:rPr>
      <w:fldChar w:fldCharType="end"/>
    </w:r>
  </w:p>
  <w:p w14:paraId="076751A3" w14:textId="77777777" w:rsidR="007C5057" w:rsidRPr="00CA2DE9" w:rsidRDefault="007C50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DA3B" w14:textId="77777777" w:rsidR="00711803" w:rsidRPr="00CA2DE9" w:rsidRDefault="00711803" w:rsidP="005667E5">
      <w:r w:rsidRPr="00CA2DE9">
        <w:separator/>
      </w:r>
    </w:p>
    <w:p w14:paraId="2F09F75B" w14:textId="77777777" w:rsidR="00711803" w:rsidRPr="00CA2DE9" w:rsidRDefault="00711803"/>
  </w:footnote>
  <w:footnote w:type="continuationSeparator" w:id="0">
    <w:p w14:paraId="72538788" w14:textId="77777777" w:rsidR="00711803" w:rsidRPr="00CA2DE9" w:rsidRDefault="00711803" w:rsidP="005667E5">
      <w:r w:rsidRPr="00CA2DE9">
        <w:continuationSeparator/>
      </w:r>
    </w:p>
    <w:p w14:paraId="09835250" w14:textId="77777777" w:rsidR="00711803" w:rsidRPr="00CA2DE9" w:rsidRDefault="00711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1621" w14:textId="77777777" w:rsidR="00370415" w:rsidRPr="00CA2DE9" w:rsidRDefault="00370415" w:rsidP="005D6F11">
    <w:pPr>
      <w:pStyle w:val="en-tte"/>
      <w:ind w:left="0" w:firstLine="0"/>
      <w:jc w:val="left"/>
    </w:pPr>
  </w:p>
  <w:p w14:paraId="68D3A87B" w14:textId="77777777" w:rsidR="007C5057" w:rsidRPr="00CA2DE9" w:rsidRDefault="007C50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6FC" w14:textId="0AE7F88F" w:rsidR="00370415" w:rsidRPr="00CA2DE9" w:rsidRDefault="009D500F" w:rsidP="009D500F">
    <w:pPr>
      <w:pStyle w:val="Header"/>
      <w:pBdr>
        <w:bottom w:val="single" w:sz="4" w:space="1" w:color="auto"/>
      </w:pBdr>
      <w:jc w:val="center"/>
      <w:rPr>
        <w:rFonts w:cstheme="minorHAnsi"/>
        <w:b/>
        <w:color w:val="00708E"/>
        <w:sz w:val="20"/>
      </w:rPr>
    </w:pPr>
    <w:r w:rsidRPr="00CA2DE9">
      <w:rPr>
        <w:rFonts w:cstheme="minorHAnsi"/>
        <w:b/>
        <w:color w:val="00708E"/>
        <w:sz w:val="20"/>
      </w:rPr>
      <w:t>NOVATECH 202</w:t>
    </w:r>
    <w:r w:rsidR="00061D24" w:rsidRPr="00CA2DE9">
      <w:rPr>
        <w:rFonts w:cstheme="minorHAnsi"/>
        <w:b/>
        <w:color w:val="00708E"/>
        <w:sz w:val="20"/>
      </w:rPr>
      <w:t>6</w:t>
    </w:r>
  </w:p>
  <w:p w14:paraId="66126282" w14:textId="77777777" w:rsidR="007C5057" w:rsidRPr="00CA2DE9" w:rsidRDefault="007C50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5756730"/>
    <w:multiLevelType w:val="multilevel"/>
    <w:tmpl w:val="7474E5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1153374245">
    <w:abstractNumId w:val="1"/>
  </w:num>
  <w:num w:numId="2" w16cid:durableId="728966107">
    <w:abstractNumId w:val="0"/>
  </w:num>
  <w:num w:numId="3" w16cid:durableId="384642938">
    <w:abstractNumId w:val="4"/>
  </w:num>
  <w:num w:numId="4" w16cid:durableId="502670478">
    <w:abstractNumId w:val="2"/>
  </w:num>
  <w:num w:numId="5" w16cid:durableId="755371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defaultTabStop w:val="708"/>
  <w:hyphenationZone w:val="425"/>
  <w:evenAndOddHeaders/>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23D54"/>
    <w:rsid w:val="00061D24"/>
    <w:rsid w:val="0008016D"/>
    <w:rsid w:val="000A4163"/>
    <w:rsid w:val="000A7243"/>
    <w:rsid w:val="000B548D"/>
    <w:rsid w:val="000B5B12"/>
    <w:rsid w:val="000C4446"/>
    <w:rsid w:val="000C49AF"/>
    <w:rsid w:val="00183221"/>
    <w:rsid w:val="00183BB7"/>
    <w:rsid w:val="00186889"/>
    <w:rsid w:val="0019193B"/>
    <w:rsid w:val="001C63BE"/>
    <w:rsid w:val="00264F42"/>
    <w:rsid w:val="002E0E07"/>
    <w:rsid w:val="002F6454"/>
    <w:rsid w:val="00326D40"/>
    <w:rsid w:val="003569E0"/>
    <w:rsid w:val="00364D83"/>
    <w:rsid w:val="00370415"/>
    <w:rsid w:val="00386C6E"/>
    <w:rsid w:val="00397B39"/>
    <w:rsid w:val="003B43B7"/>
    <w:rsid w:val="003E33A4"/>
    <w:rsid w:val="00406F9D"/>
    <w:rsid w:val="00417639"/>
    <w:rsid w:val="00453BFC"/>
    <w:rsid w:val="00485AF8"/>
    <w:rsid w:val="00496385"/>
    <w:rsid w:val="004A18F1"/>
    <w:rsid w:val="004B290B"/>
    <w:rsid w:val="004E25C2"/>
    <w:rsid w:val="004E6436"/>
    <w:rsid w:val="00520186"/>
    <w:rsid w:val="00544E67"/>
    <w:rsid w:val="00547F41"/>
    <w:rsid w:val="005663F1"/>
    <w:rsid w:val="005667E5"/>
    <w:rsid w:val="0056699D"/>
    <w:rsid w:val="005A6353"/>
    <w:rsid w:val="005D0014"/>
    <w:rsid w:val="005D6F11"/>
    <w:rsid w:val="00647EFF"/>
    <w:rsid w:val="00675087"/>
    <w:rsid w:val="006A683B"/>
    <w:rsid w:val="006E3818"/>
    <w:rsid w:val="00700E48"/>
    <w:rsid w:val="007073B8"/>
    <w:rsid w:val="00711803"/>
    <w:rsid w:val="00735EBE"/>
    <w:rsid w:val="00737F5E"/>
    <w:rsid w:val="007460AE"/>
    <w:rsid w:val="007513E2"/>
    <w:rsid w:val="00773F7E"/>
    <w:rsid w:val="00786072"/>
    <w:rsid w:val="0079199C"/>
    <w:rsid w:val="007B7EBB"/>
    <w:rsid w:val="007C5057"/>
    <w:rsid w:val="007E5F4D"/>
    <w:rsid w:val="0080091A"/>
    <w:rsid w:val="00802D46"/>
    <w:rsid w:val="008633AC"/>
    <w:rsid w:val="00872B7D"/>
    <w:rsid w:val="00883827"/>
    <w:rsid w:val="008839C5"/>
    <w:rsid w:val="00885554"/>
    <w:rsid w:val="008C6D20"/>
    <w:rsid w:val="00906F84"/>
    <w:rsid w:val="009619F0"/>
    <w:rsid w:val="009D500F"/>
    <w:rsid w:val="009E6576"/>
    <w:rsid w:val="00A055BB"/>
    <w:rsid w:val="00A05F03"/>
    <w:rsid w:val="00A605BF"/>
    <w:rsid w:val="00A62561"/>
    <w:rsid w:val="00A63C55"/>
    <w:rsid w:val="00A831FB"/>
    <w:rsid w:val="00A9340B"/>
    <w:rsid w:val="00AA1C3A"/>
    <w:rsid w:val="00AE2885"/>
    <w:rsid w:val="00AE48E1"/>
    <w:rsid w:val="00B266A6"/>
    <w:rsid w:val="00B334C9"/>
    <w:rsid w:val="00B76FD1"/>
    <w:rsid w:val="00B91EC1"/>
    <w:rsid w:val="00BA135E"/>
    <w:rsid w:val="00BB1267"/>
    <w:rsid w:val="00C0789A"/>
    <w:rsid w:val="00C10FB4"/>
    <w:rsid w:val="00C11F79"/>
    <w:rsid w:val="00C221F1"/>
    <w:rsid w:val="00C2487F"/>
    <w:rsid w:val="00C26503"/>
    <w:rsid w:val="00C31BFD"/>
    <w:rsid w:val="00C57256"/>
    <w:rsid w:val="00C636C8"/>
    <w:rsid w:val="00C71C8B"/>
    <w:rsid w:val="00CA1E44"/>
    <w:rsid w:val="00CA2DE9"/>
    <w:rsid w:val="00D13121"/>
    <w:rsid w:val="00D3758C"/>
    <w:rsid w:val="00D51BCE"/>
    <w:rsid w:val="00D60D14"/>
    <w:rsid w:val="00D70620"/>
    <w:rsid w:val="00D77F96"/>
    <w:rsid w:val="00DA7D7D"/>
    <w:rsid w:val="00DC4FD1"/>
    <w:rsid w:val="00DE20F1"/>
    <w:rsid w:val="00DE549A"/>
    <w:rsid w:val="00E04432"/>
    <w:rsid w:val="00E17E18"/>
    <w:rsid w:val="00E44DE5"/>
    <w:rsid w:val="00E6104C"/>
    <w:rsid w:val="00E615B3"/>
    <w:rsid w:val="00E91CE1"/>
    <w:rsid w:val="00EA64D5"/>
    <w:rsid w:val="00EE5DF7"/>
    <w:rsid w:val="00F747BF"/>
    <w:rsid w:val="00F91C97"/>
    <w:rsid w:val="00FA65E4"/>
    <w:rsid w:val="00FE73F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D24"/>
    <w:pPr>
      <w:widowControl w:val="0"/>
      <w:spacing w:before="120"/>
      <w:jc w:val="both"/>
    </w:pPr>
    <w:rPr>
      <w:rFonts w:asciiTheme="minorHAnsi" w:hAnsiTheme="minorHAnsi"/>
      <w:szCs w:val="24"/>
      <w:lang w:val="en-US"/>
    </w:rPr>
  </w:style>
  <w:style w:type="paragraph" w:styleId="Heading1">
    <w:name w:val="heading 1"/>
    <w:basedOn w:val="Normal"/>
    <w:next w:val="Normal"/>
    <w:qFormat/>
    <w:rsid w:val="009D500F"/>
    <w:pPr>
      <w:keepNext/>
      <w:numPr>
        <w:numId w:val="1"/>
      </w:numPr>
      <w:spacing w:before="200"/>
      <w:outlineLvl w:val="0"/>
    </w:pPr>
    <w:rPr>
      <w:rFonts w:cstheme="minorHAnsi"/>
      <w:b/>
      <w:bCs/>
      <w:caps/>
      <w:color w:val="00708E"/>
      <w:sz w:val="24"/>
    </w:rPr>
  </w:style>
  <w:style w:type="paragraph" w:styleId="Heading2">
    <w:name w:val="heading 2"/>
    <w:basedOn w:val="Normal"/>
    <w:next w:val="Normal"/>
    <w:qFormat/>
    <w:rsid w:val="009D500F"/>
    <w:pPr>
      <w:keepNext/>
      <w:numPr>
        <w:ilvl w:val="1"/>
        <w:numId w:val="1"/>
      </w:numPr>
      <w:outlineLvl w:val="1"/>
    </w:pPr>
    <w:rPr>
      <w:rFonts w:cstheme="minorHAnsi"/>
      <w:b/>
      <w:bCs/>
      <w:color w:val="00B6CF"/>
      <w:sz w:val="24"/>
      <w:szCs w:val="28"/>
    </w:rPr>
  </w:style>
  <w:style w:type="paragraph" w:styleId="Heading3">
    <w:name w:val="heading 3"/>
    <w:basedOn w:val="Normal"/>
    <w:next w:val="Normal"/>
    <w:qFormat/>
    <w:rsid w:val="009D500F"/>
    <w:pPr>
      <w:keepNext/>
      <w:numPr>
        <w:ilvl w:val="2"/>
        <w:numId w:val="1"/>
      </w:numPr>
      <w:outlineLvl w:val="2"/>
    </w:pPr>
    <w:rPr>
      <w:rFonts w:cstheme="minorHAnsi"/>
      <w:b/>
      <w:bCs/>
      <w:i/>
      <w:color w:val="CF007F"/>
      <w:szCs w:val="26"/>
    </w:rPr>
  </w:style>
  <w:style w:type="paragraph" w:styleId="Heading4">
    <w:name w:val="heading 4"/>
    <w:basedOn w:val="Normal"/>
    <w:next w:val="Normal"/>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pPr>
      <w:numPr>
        <w:ilvl w:val="4"/>
        <w:numId w:val="1"/>
      </w:numPr>
      <w:spacing w:before="240" w:after="60"/>
      <w:outlineLvl w:val="4"/>
    </w:pPr>
    <w:rPr>
      <w:b/>
      <w:bCs/>
      <w:i/>
      <w:iCs/>
      <w:sz w:val="26"/>
      <w:szCs w:val="26"/>
    </w:rPr>
  </w:style>
  <w:style w:type="paragraph" w:styleId="Heading6">
    <w:name w:val="heading 6"/>
    <w:basedOn w:val="Normal"/>
    <w:next w:val="Normal"/>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pPr>
      <w:numPr>
        <w:ilvl w:val="6"/>
        <w:numId w:val="1"/>
      </w:numPr>
      <w:spacing w:before="240" w:after="60"/>
      <w:outlineLvl w:val="6"/>
    </w:pPr>
    <w:rPr>
      <w:rFonts w:ascii="Times New Roman" w:hAnsi="Times New Roman"/>
      <w:sz w:val="24"/>
    </w:rPr>
  </w:style>
  <w:style w:type="paragraph" w:styleId="Heading8">
    <w:name w:val="heading 8"/>
    <w:basedOn w:val="Normal"/>
    <w:next w:val="Normal"/>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pPr>
      <w:numPr>
        <w:ilvl w:val="8"/>
        <w:numId w:val="1"/>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Normal"/>
    <w:qFormat/>
    <w:rsid w:val="009D500F"/>
    <w:pPr>
      <w:ind w:left="1418" w:right="567"/>
      <w:jc w:val="left"/>
    </w:pPr>
    <w:rPr>
      <w:rFonts w:cstheme="minorHAnsi"/>
      <w:b/>
      <w:bCs/>
      <w:color w:val="00708E"/>
      <w:sz w:val="28"/>
    </w:rPr>
  </w:style>
  <w:style w:type="paragraph" w:customStyle="1" w:styleId="1Translation">
    <w:name w:val="1Translation"/>
    <w:basedOn w:val="Normal"/>
    <w:qFormat/>
    <w:rsid w:val="009D500F"/>
    <w:pPr>
      <w:ind w:left="1418" w:right="567"/>
      <w:jc w:val="left"/>
    </w:pPr>
    <w:rPr>
      <w:rFonts w:cstheme="minorHAnsi"/>
      <w:color w:val="00B6CF"/>
      <w:sz w:val="28"/>
      <w:lang w:val="en-GB"/>
    </w:rPr>
  </w:style>
  <w:style w:type="paragraph" w:customStyle="1" w:styleId="Legendes">
    <w:name w:val="Legendes"/>
    <w:basedOn w:val="Normal"/>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Emphasis">
    <w:name w:val="Emphasis"/>
    <w:uiPriority w:val="20"/>
    <w:rsid w:val="00DE20F1"/>
    <w:rPr>
      <w:i/>
      <w:iCs/>
    </w:rPr>
  </w:style>
  <w:style w:type="paragraph" w:customStyle="1" w:styleId="Normaltiret">
    <w:name w:val="Normaltiret"/>
    <w:basedOn w:val="Normal"/>
    <w:qFormat/>
    <w:rsid w:val="009D500F"/>
    <w:pPr>
      <w:numPr>
        <w:numId w:val="4"/>
      </w:numPr>
    </w:pPr>
    <w:rPr>
      <w:rFonts w:cstheme="minorHAnsi"/>
    </w:rPr>
  </w:style>
  <w:style w:type="paragraph" w:customStyle="1" w:styleId="Biblio">
    <w:name w:val="Biblio"/>
    <w:basedOn w:val="Normal"/>
    <w:pPr>
      <w:spacing w:before="0"/>
      <w:ind w:left="284" w:hanging="284"/>
    </w:pPr>
    <w:rPr>
      <w:sz w:val="15"/>
      <w:lang w:val="en-GB"/>
    </w:rPr>
  </w:style>
  <w:style w:type="paragraph" w:styleId="Footer">
    <w:name w:val="footer"/>
    <w:basedOn w:val="Normal"/>
    <w:semiHidden/>
    <w:pPr>
      <w:tabs>
        <w:tab w:val="center" w:pos="4536"/>
        <w:tab w:val="right" w:pos="9072"/>
      </w:tabs>
    </w:pPr>
  </w:style>
  <w:style w:type="paragraph" w:styleId="Title">
    <w:name w:val="Title"/>
    <w:basedOn w:val="0TitleTitre"/>
    <w:next w:val="Normal"/>
    <w:link w:val="TitleChar"/>
    <w:uiPriority w:val="10"/>
    <w:qFormat/>
    <w:rsid w:val="008839C5"/>
    <w:pPr>
      <w:ind w:left="0"/>
    </w:pPr>
    <w:rPr>
      <w:sz w:val="24"/>
    </w:rPr>
  </w:style>
  <w:style w:type="paragraph" w:customStyle="1" w:styleId="titreanx">
    <w:name w:val="titreanx"/>
    <w:basedOn w:val="Heading1"/>
    <w:rsid w:val="00406F9D"/>
    <w:pPr>
      <w:numPr>
        <w:numId w:val="0"/>
      </w:numPr>
    </w:pPr>
    <w:rPr>
      <w:rFonts w:ascii="Arial" w:hAnsi="Arial"/>
    </w:rPr>
  </w:style>
  <w:style w:type="character" w:customStyle="1" w:styleId="TitleChar">
    <w:name w:val="Title Char"/>
    <w:link w:val="Title"/>
    <w:uiPriority w:val="10"/>
    <w:rsid w:val="008839C5"/>
    <w:rPr>
      <w:rFonts w:ascii="Arial" w:hAnsi="Arial" w:cs="Arial"/>
      <w:b/>
      <w:bCs/>
      <w:sz w:val="24"/>
      <w:szCs w:val="24"/>
    </w:rPr>
  </w:style>
  <w:style w:type="paragraph" w:styleId="Subtitle">
    <w:name w:val="Subtitle"/>
    <w:basedOn w:val="1Translation"/>
    <w:next w:val="Normal"/>
    <w:link w:val="SubtitleChar"/>
    <w:uiPriority w:val="11"/>
    <w:rsid w:val="0019193B"/>
    <w:pPr>
      <w:spacing w:after="120"/>
      <w:ind w:left="2835"/>
    </w:pPr>
    <w:rPr>
      <w:sz w:val="24"/>
    </w:rPr>
  </w:style>
  <w:style w:type="character" w:customStyle="1" w:styleId="SubtitleChar">
    <w:name w:val="Subtitle Char"/>
    <w:link w:val="Subtitle"/>
    <w:uiPriority w:val="11"/>
    <w:rsid w:val="0019193B"/>
    <w:rPr>
      <w:rFonts w:ascii="Arial" w:hAnsi="Arial"/>
      <w:sz w:val="24"/>
      <w:szCs w:val="24"/>
      <w:lang w:val="en-GB"/>
    </w:rPr>
  </w:style>
  <w:style w:type="paragraph" w:customStyle="1" w:styleId="en-tte">
    <w:name w:val="en-tête"/>
    <w:basedOn w:val="Normal"/>
    <w:link w:val="en-tteCar"/>
    <w:qFormat/>
    <w:rsid w:val="00406F9D"/>
    <w:pPr>
      <w:pBdr>
        <w:bottom w:val="single" w:sz="2" w:space="1" w:color="auto"/>
      </w:pBdr>
      <w:ind w:left="284" w:hanging="284"/>
      <w:jc w:val="right"/>
    </w:pPr>
    <w:rPr>
      <w:sz w:val="16"/>
    </w:rPr>
  </w:style>
  <w:style w:type="character" w:styleId="SubtleEmphasis">
    <w:name w:val="Subtle Emphasis"/>
    <w:uiPriority w:val="19"/>
    <w:rsid w:val="00DE20F1"/>
    <w:rPr>
      <w:rFonts w:ascii="Calibri" w:hAnsi="Calibri"/>
      <w:color w:val="548DD4"/>
    </w:rPr>
  </w:style>
  <w:style w:type="character" w:styleId="IntenseReference">
    <w:name w:val="Intense Reference"/>
    <w:uiPriority w:val="32"/>
    <w:qFormat/>
    <w:rsid w:val="00735EBE"/>
    <w:rPr>
      <w:sz w:val="18"/>
      <w:lang w:val="en-GB"/>
    </w:rPr>
  </w:style>
  <w:style w:type="paragraph" w:customStyle="1" w:styleId="4organisme">
    <w:name w:val="4organisme"/>
    <w:basedOn w:val="Normal"/>
    <w:link w:val="4organismeCar"/>
    <w:qFormat/>
    <w:rsid w:val="00397B39"/>
    <w:pPr>
      <w:spacing w:before="0"/>
      <w:ind w:left="1418" w:right="567"/>
      <w:jc w:val="left"/>
    </w:pPr>
  </w:style>
  <w:style w:type="character" w:customStyle="1" w:styleId="en-tteCar">
    <w:name w:val="en-tête Car"/>
    <w:link w:val="en-tte"/>
    <w:rsid w:val="00406F9D"/>
    <w:rPr>
      <w:rFonts w:ascii="Arial" w:hAnsi="Arial"/>
      <w:sz w:val="16"/>
      <w:szCs w:val="24"/>
    </w:rPr>
  </w:style>
  <w:style w:type="character" w:styleId="CommentReference">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CommentText">
    <w:name w:val="annotation text"/>
    <w:basedOn w:val="Normal"/>
    <w:link w:val="CommentTextChar"/>
    <w:uiPriority w:val="99"/>
    <w:semiHidden/>
    <w:unhideWhenUsed/>
    <w:rsid w:val="007B7EBB"/>
    <w:rPr>
      <w:szCs w:val="20"/>
    </w:rPr>
  </w:style>
  <w:style w:type="character" w:customStyle="1" w:styleId="CommentTextChar">
    <w:name w:val="Comment Text Char"/>
    <w:link w:val="CommentText"/>
    <w:uiPriority w:val="99"/>
    <w:semiHidden/>
    <w:rsid w:val="007B7EBB"/>
    <w:rPr>
      <w:rFonts w:ascii="Arial" w:hAnsi="Arial"/>
    </w:rPr>
  </w:style>
  <w:style w:type="paragraph" w:styleId="CommentSubject">
    <w:name w:val="annotation subject"/>
    <w:basedOn w:val="CommentText"/>
    <w:next w:val="CommentText"/>
    <w:link w:val="CommentSubjectChar"/>
    <w:uiPriority w:val="99"/>
    <w:semiHidden/>
    <w:unhideWhenUsed/>
    <w:rsid w:val="007B7EBB"/>
    <w:rPr>
      <w:b/>
      <w:bCs/>
    </w:rPr>
  </w:style>
  <w:style w:type="character" w:customStyle="1" w:styleId="CommentSubjectChar">
    <w:name w:val="Comment Subject Char"/>
    <w:link w:val="CommentSubject"/>
    <w:uiPriority w:val="99"/>
    <w:semiHidden/>
    <w:rsid w:val="007B7EBB"/>
    <w:rPr>
      <w:rFonts w:ascii="Arial" w:hAnsi="Arial"/>
      <w:b/>
      <w:bCs/>
    </w:rPr>
  </w:style>
  <w:style w:type="paragraph" w:styleId="BalloonText">
    <w:name w:val="Balloon Text"/>
    <w:basedOn w:val="Normal"/>
    <w:link w:val="BalloonTextChar"/>
    <w:uiPriority w:val="99"/>
    <w:semiHidden/>
    <w:unhideWhenUsed/>
    <w:rsid w:val="007B7EBB"/>
    <w:pPr>
      <w:spacing w:before="0"/>
    </w:pPr>
    <w:rPr>
      <w:rFonts w:ascii="Tahoma" w:hAnsi="Tahoma" w:cs="Tahoma"/>
      <w:sz w:val="16"/>
      <w:szCs w:val="16"/>
    </w:rPr>
  </w:style>
  <w:style w:type="character" w:customStyle="1" w:styleId="BalloonTextChar">
    <w:name w:val="Balloon Text Char"/>
    <w:link w:val="BalloonText"/>
    <w:uiPriority w:val="99"/>
    <w:semiHidden/>
    <w:rsid w:val="007B7EBB"/>
    <w:rPr>
      <w:rFonts w:ascii="Tahoma" w:hAnsi="Tahoma" w:cs="Tahoma"/>
      <w:sz w:val="16"/>
      <w:szCs w:val="16"/>
    </w:rPr>
  </w:style>
  <w:style w:type="table" w:styleId="TableGrid">
    <w:name w:val="Table Grid"/>
    <w:basedOn w:val="TableNormal"/>
    <w:uiPriority w:val="59"/>
    <w:rsid w:val="001C63BE"/>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C63BE"/>
    <w:rPr>
      <w:rFonts w:ascii="Times New Roman" w:hAnsi="Times New Roman"/>
      <w:sz w:val="24"/>
    </w:rPr>
  </w:style>
  <w:style w:type="character" w:styleId="PlaceholderText">
    <w:name w:val="Placeholder Text"/>
    <w:basedOn w:val="DefaultParagraphFont"/>
    <w:uiPriority w:val="99"/>
    <w:semiHidden/>
    <w:rsid w:val="00A63C55"/>
    <w:rPr>
      <w:color w:val="666666"/>
    </w:rPr>
  </w:style>
  <w:style w:type="paragraph" w:styleId="Caption">
    <w:name w:val="caption"/>
    <w:basedOn w:val="Normal"/>
    <w:next w:val="Normal"/>
    <w:uiPriority w:val="35"/>
    <w:unhideWhenUsed/>
    <w:qFormat/>
    <w:rsid w:val="004A18F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9312">
      <w:marLeft w:val="480"/>
      <w:marRight w:val="0"/>
      <w:marTop w:val="0"/>
      <w:marBottom w:val="0"/>
      <w:divBdr>
        <w:top w:val="none" w:sz="0" w:space="0" w:color="auto"/>
        <w:left w:val="none" w:sz="0" w:space="0" w:color="auto"/>
        <w:bottom w:val="none" w:sz="0" w:space="0" w:color="auto"/>
        <w:right w:val="none" w:sz="0" w:space="0" w:color="auto"/>
      </w:divBdr>
    </w:div>
    <w:div w:id="1464040898">
      <w:marLeft w:val="480"/>
      <w:marRight w:val="0"/>
      <w:marTop w:val="0"/>
      <w:marBottom w:val="0"/>
      <w:divBdr>
        <w:top w:val="none" w:sz="0" w:space="0" w:color="auto"/>
        <w:left w:val="none" w:sz="0" w:space="0" w:color="auto"/>
        <w:bottom w:val="none" w:sz="0" w:space="0" w:color="auto"/>
        <w:right w:val="none" w:sz="0" w:space="0" w:color="auto"/>
      </w:divBdr>
    </w:div>
    <w:div w:id="1766614461">
      <w:marLeft w:val="480"/>
      <w:marRight w:val="0"/>
      <w:marTop w:val="0"/>
      <w:marBottom w:val="0"/>
      <w:divBdr>
        <w:top w:val="none" w:sz="0" w:space="0" w:color="auto"/>
        <w:left w:val="none" w:sz="0" w:space="0" w:color="auto"/>
        <w:bottom w:val="none" w:sz="0" w:space="0" w:color="auto"/>
        <w:right w:val="none" w:sz="0" w:space="0" w:color="auto"/>
      </w:divBdr>
    </w:div>
    <w:div w:id="1822842701">
      <w:marLeft w:val="48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A6F88B14-044D-4C49-8096-ECE48639629B}"/>
      </w:docPartPr>
      <w:docPartBody>
        <w:p w:rsidR="00000000" w:rsidRDefault="00E820C4">
          <w:r w:rsidRPr="00672095">
            <w:rPr>
              <w:rStyle w:val="PlaceholderText"/>
            </w:rPr>
            <w:t>Click or tap here to enter text.</w:t>
          </w:r>
        </w:p>
      </w:docPartBody>
    </w:docPart>
    <w:docPart>
      <w:docPartPr>
        <w:name w:val="C25C108BD4D24EE983E8F6C524AE3E4E"/>
        <w:category>
          <w:name w:val="General"/>
          <w:gallery w:val="placeholder"/>
        </w:category>
        <w:types>
          <w:type w:val="bbPlcHdr"/>
        </w:types>
        <w:behaviors>
          <w:behavior w:val="content"/>
        </w:behaviors>
        <w:guid w:val="{083661C7-DE98-41C4-BA41-938E4AEAFD7A}"/>
      </w:docPartPr>
      <w:docPartBody>
        <w:p w:rsidR="00000000" w:rsidRDefault="00E820C4" w:rsidP="00E820C4">
          <w:pPr>
            <w:pStyle w:val="C25C108BD4D24EE983E8F6C524AE3E4E"/>
          </w:pPr>
          <w:r w:rsidRPr="0067209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0C4"/>
    <w:rsid w:val="00A5286D"/>
    <w:rsid w:val="00D60D14"/>
    <w:rsid w:val="00E820C4"/>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20C4"/>
    <w:rPr>
      <w:color w:val="666666"/>
    </w:rPr>
  </w:style>
  <w:style w:type="paragraph" w:customStyle="1" w:styleId="C25C108BD4D24EE983E8F6C524AE3E4E">
    <w:name w:val="C25C108BD4D24EE983E8F6C524AE3E4E"/>
    <w:rsid w:val="00E820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6D0E226-CE13-4E43-9D6D-12A7D92A086B}">
  <we:reference id="f78a3046-9e99-4300-aa2b-5814002b01a2" version="1.55.1.0" store="EXCatalog" storeType="EXCatalog"/>
  <we:alternateReferences>
    <we:reference id="WA104382081" version="1.55.1.0" store="en-US" storeType="OMEX"/>
  </we:alternateReferences>
  <we:properties>
    <we:property name="MENDELEY_BIBLIOGRAPHY_IS_DIRTY" value="false"/>
    <we:property name="MENDELEY_BIBLIOGRAPHY_LAST_MODIFIED" value="1765380467005"/>
    <we:property name="MENDELEY_CITATIONS" value="[{&quot;citationID&quot;:&quot;MENDELEY_CITATION_331345a2-9aef-40ec-9b94-4a16c560da08&quot;,&quot;properties&quot;:{&quot;noteIndex&quot;:0},&quot;isEdited&quot;:false,&quot;manualOverride&quot;:{&quot;isManuallyOverridden&quot;:false,&quot;citeprocText&quot;:&quot;(Perry et al., 2024)&quot;,&quot;manualOverrideText&quot;:&quot;&quot;},&quot;citationTag&quot;:&quot;MENDELEY_CITATION_v3_eyJjaXRhdGlvbklEIjoiTUVOREVMRVlfQ0lUQVRJT05fMzMxMzQ1YTItOWFlZi00MGVjLTliOTQtNGExNmM1NjBkYTA4IiwicHJvcGVydGllcyI6eyJub3RlSW5kZXgiOjB9LCJpc0VkaXRlZCI6ZmFsc2UsIm1hbnVhbE92ZXJyaWRlIjp7ImlzTWFudWFsbHlPdmVycmlkZGVuIjpmYWxzZSwiY2l0ZXByb2NUZXh0IjoiKFBlcnJ5IGV0IGFsLiwgMjAyNCkiLCJtYW51YWxPdmVycmlkZVRleHQiOiIifSwiY2l0YXRpb25JdGVtcyI6W3siaWQiOiI4Y2Y0YTAwMy0wZjMzLTNmMTEtYjY3NC0xMmVlMDQ3N2IxZmIiLCJpdGVtRGF0YSI6eyJ0eXBlIjoiYXJ0aWNsZS1qb3VybmFsIiwiaWQiOiI4Y2Y0YTAwMy0wZjMzLTNmMTEtYjY3NC0xMmVlMDQ3N2IxZmIiLCJ0aXRsZSI6IkFkZHJlc3NpbmcgdGhlIGNoYWxsZW5nZXMgb2YgY29tYmluZWQgc2V3ZXIgb3ZlcmZsb3dzIiwiYXV0aG9yIjpbeyJmYW1pbHkiOiJQZXJyeSIsImdpdmVuIjoiV2lsbGlhbSBCZXJuYXJkIiwicGFyc2UtbmFtZXMiOmZhbHNlLCJkcm9wcGluZy1wYXJ0aWNsZSI6IiIsIm5vbi1kcm9wcGluZy1wYXJ0aWNsZSI6IiJ9LHsiZmFtaWx5IjoiQWhtYWRpYW4iLCJnaXZlbiI6IlJlemEiLCJwYXJzZS1uYW1lcyI6ZmFsc2UsImRyb3BwaW5nLXBhcnRpY2xlIjoiIiwibm9uLWRyb3BwaW5nLXBhcnRpY2xlIjoiIn0seyJmYW1pbHkiOiJNdW5kYXkiLCJnaXZlbiI6Ik1heCIsInBhcnNlLW5hbWVzIjpmYWxzZSwiZHJvcHBpbmctcGFydGljbGUiOiIiLCJub24tZHJvcHBpbmctcGFydGljbGUiOiIifSx7ImZhbWlseSI6IkpvbmVzIiwiZ2l2ZW4iOiJPd2VuIiwicGFyc2UtbmFtZXMiOmZhbHNlLCJkcm9wcGluZy1wYXJ0aWNsZSI6IiIsIm5vbi1kcm9wcGluZy1wYXJ0aWNsZSI6IiJ9LHsiZmFtaWx5IjoiT3JtZXJvZCIsImdpdmVuIjoiU3RldmUgSiIsInBhcnNlLW5hbWVzIjpmYWxzZSwiZHJvcHBpbmctcGFydGljbGUiOiIiLCJub24tZHJvcHBpbmctcGFydGljbGUiOiIifSx7ImZhbWlseSI6IkR1cmFuY2UiLCJnaXZlbiI6IklzYWJlbGxlIiwicGFyc2UtbmFtZXMiOmZhbHNlLCJkcm9wcGluZy1wYXJ0aWNsZSI6IiIsIm5vbi1kcm9wcGluZy1wYXJ0aWNsZSI6IiJ9XSwiY29udGFpbmVyLXRpdGxlIjoiRW52aXJvbm1lbnRhbCBQb2xsdXRpb24iLCJET0kiOiJodHRwczovL2RvaS5vcmcvMTAuMTAxNi9qLmVudnBvbC4yMDIzLjEyMzIyNSIsIklTU04iOiIwMjY5LTc0OTEiLCJVUkwiOiJodHRwczovL3d3dy5zY2llbmNlZGlyZWN0LmNvbS9zY2llbmNlL2FydGljbGUvcGlpL1MwMjY5NzQ5MTIzMDIyMjczIiwiaXNzdWVkIjp7ImRhdGUtcGFydHMiOltbMjAyNF1dfSwicGFnZSI6IjEyMzIyNSIsImFic3RyYWN0IjoiRXVyb3BlJ3MgYWdlaW5nIHdhc3Rld2F0ZXIgc3lzdGVtIG9mdGVuIGNvbWJpbmVzIGRvbWVzdGljIHNld2FnZSB3aXRoIHN1cmZhY2UgcnVub2ZmIGFuZCBpbmR1c3RyaWFsIHdhc3Rld2F0ZXJzLiBUbyByZWR1Y2UgdGhlIGFzc29jaWF0ZWQgcmlzayBvZiBvdmVybG9hZGluZyB3YXN0ZXdhdGVyIHRyZWF0bWVudCB3b3JrcyBkdXJpbmcgc3Rvcm1zLCBhbmQgdG8gcHJldmVudCB3YXN0ZXdhdGVyIGJhY2tpbmctdXAgaW50byBwcm9wZXJ0aWVzLCBDb21iaW5lZCBTZXdlciBPdmVyZmxvd3MgKENTT3MpIGFyZSBkZXNpZ25lZCBpbnRvIHdhc3Rld2F0ZXIgbmV0d29ya3MgdG8gcmVsZWFzZSBleGNlc3MgZGlzY2hhcmdlIGludG8gcml2ZXJzIG9yIGNvYXN0YWwgd2F0ZXJzIHdpdGhvdXQgdHJlYXRtZW50LiBJbiB2aWV3IG9mIGdyb3dpbmcgcmVndWxhdG9yeSBzY3J1dGlueSBhbmQgaW5jcmVhc2luZyBwdWJsaWMgY29uY2VybiBhYm91dCB0aGVpciBleGNlc3NpdmUgZGlzY2hhcmdlIGZyZXF1ZW5jaWVzIGFuZCBwb3RlbnRpYWwgaW1wYWN0cyBvbiBlbnZpcm9ubWVudHMgYW5kIHBlb3BsZSwgdGhlcmUgaXMgYSBuZWVkIHRvIGJldHRlciB1bmRlcnN0YW5kIHRoZXNlIGltcGFjdHMgdG8gYWxsb3cgcHJpb3JpdGlzYXRpb24gb2YgY29zdC1lZmZlY3RpdmUgc29sdXRpb25zLldlIHJldmlldzogaSkgdGhlIGNoZW1pY2FsLCBwaHlzaWNhbCBhbmQgYmlvbG9naWNhbCBjb21wb3NpdGlvbiBvZiBDU09zIGRpc2NoYXJnZXM7IGlpKSBzcGF0aW8tdGVtcG9yYWwgdmFyaWF0aW9ucyBpbiB0aGUgcXVhbnRpdHksIHF1YWxpdHkgYW5kIGxvYWQgb2Ygb3ZlcmZsb3dzIHNwaWxsaW5nIGludG8gcmVjZWl2aW5nIHdhdGVyczsgaWlpKSB0aGUgcG90ZW50aWFsIGltcGFjdHMgb24gcGVvcGxlLCBlY29zeXN0ZW1zIGFuZCBlY29ub21pZXMuIERlc3BpdGUgaW52ZXN0aWdhdGlvbnMgaWxsdXN0cmF0aW5nIHRoZSBkaXNjaGFyZ2UgZnJlcXVlbmN5IG9mIENTT3MsIGRhdGEgb24gc3BpbGwgY29tcG9zaXRpb24gYW5kIGxvYWRpbmcgb2YgcG9sbHV0YW50cyBhcmUgdG9vIGZldyB0byByZWFjaCByZXByZXNlbnRhdGl2ZSBjb25jbHVzaW9ucywgcGFydGljdWxhcmx5IGZvciBlbWVyZ2luZyBjb250YW1pbmFudHMuIFN0dWRpZXMgYXBwcmFpc2luZyBpbXBhY3RzIGFyZSBhbHNvIHNjYXJjZSwgZXNwZWNpYWxseSBpbiBjb250ZXh0cyB3aGVyZSB0aGVyZSBhcmUgbXVsdGlwbGUgc3RyZXNzb3JzIGFmZmVjdGluZyByZWNlaXZpbmcgd2F0ZXJzLiBHaXZlbiB0aGUgY29zdHMgb2YgYWRkcmVzc2luZyBDU09zIHByb2JsZW1zLCBidXQgYWxzbyB0aGUgbGlrZWx5IGxvbmctdGVybSBnYWlucyAoZS5nLiBlY29ub21pYyBzdGltdWxhdGlvbiBhcyB3ZWxsIGFzIGltcHJvdmVtZW50cyB0byBiaW9kaXZlcnNpdHksIGVjb3N5c3RlbSBzZXJ2aWNlcywgcHVibGljIGhlYWx0aCBhbmQgd2VsbGJlaW5nKSwgd2UgaGlnaGxpZ2h0IGhlcmUgdGhlIG5lZWQgdG8gYm9sc3RlciB0aGVzZSBldmlkZW5jZSBnYXBzLiBXZSBhbHNvIGFkdm9jYXRlIG5vLXJlZ3JldHMgb3B0aW9ucyB0byBhbGxldmlhdGUgQ1NPIHByb2JsZW1zIHRha2luZyBpbnRvIGNvbnNpZGVyYXRpb24gZWNvbm9taWMgY29zdHMsIGNhcmJvbiBuZXV0cmFsaXR5LCBlY29zeXN0ZW0gYmVuZWZpdCBhbmQgY29tbXVuaXR5IHdlbGwtYmVpbmcuIEJlc2lkZXMgcHJhZ21hdGljLCByaXNrLWJhc2VkIGludmVzdG1lbnQgYnkgdXRpbGl0aWVzIGFuZCBsb2NhbCBhdXRob3JpdGllcyB0byBtb2Rlcm5pc2Ugd2FzdGV3YXRlciBzeXN0ZW1zLCB0aGVzZSBpbmNsdWRlIGkpIG1vcmUgc3lzdGVtaWMgdGhpbmtpbmcsIGxpbmtpbmcgcG9saWN5IG1ha2VycywgY29uc3VtZXJzLCB1dGlsaXRpZXMgYW5kIHJlZ3VsYXRvcnMsIHRvIHNoaWZ0IGZyb20gbG9jYWwgQ1NPIGlzc3VlcyB0byBpbnRlZ3JhdGVkIGNhdGNobWVudCBzb2x1dGlvbnMgd2l0aCB0aGUgYWltIG9mIHJlZHVjaW5nIGNvbnRyaWJ1dGlvbnMgdG8gd2FzdGV3YXRlciBmcm9tIHN1cmZhY2UgZHJhaW5hZ2UgYW5kIHdhdGVyIGNvbnN1bXB0aW9uOyBpaSkgYnJvYWRlciBzb2NpZXRhbCByZXNwb25zaWJpbGl0aWVzIGZvciBDU09zLCBmb3IgZXhhbXBsZSB0aHJvdWdoIGltcHJvdmVkIHJlZ3VsYXRpb24sIGJlaGF2aW91cmFsIGNoYW5nZXMgaW4gd2F0ZXIgY29uc3VtcHRpb24gYW5kIGRpc3Bvc2FsIG9mIHdhc3RlIGludG8gd2FzdGV3YXRlciBuZXR3b3JrcywgYW5kIGlpaSkgZ3JlYXRlciBjb3N0LXNoYXJpbmcgb2Ygd2FzdGV3YXRlciB1c2UuIiwidm9sdW1lIjoiMzQzIiwiY29udGFpbmVyLXRpdGxlLXNob3J0IjoiIn0sImlzVGVtcG9yYXJ5IjpmYWxzZX1dfQ==&quot;,&quot;citationItems&quot;:[{&quot;id&quot;:&quot;8cf4a003-0f33-3f11-b674-12ee0477b1fb&quot;,&quot;itemData&quot;:{&quot;type&quot;:&quot;article-journal&quot;,&quot;id&quot;:&quot;8cf4a003-0f33-3f11-b674-12ee0477b1fb&quot;,&quot;title&quot;:&quot;Addressing the challenges of combined sewer overflows&quot;,&quot;author&quot;:[{&quot;family&quot;:&quot;Perry&quot;,&quot;given&quot;:&quot;William Bernard&quot;,&quot;parse-names&quot;:false,&quot;dropping-particle&quot;:&quot;&quot;,&quot;non-dropping-particle&quot;:&quot;&quot;},{&quot;family&quot;:&quot;Ahmadian&quot;,&quot;given&quot;:&quot;Reza&quot;,&quot;parse-names&quot;:false,&quot;dropping-particle&quot;:&quot;&quot;,&quot;non-dropping-particle&quot;:&quot;&quot;},{&quot;family&quot;:&quot;Munday&quot;,&quot;given&quot;:&quot;Max&quot;,&quot;parse-names&quot;:false,&quot;dropping-particle&quot;:&quot;&quot;,&quot;non-dropping-particle&quot;:&quot;&quot;},{&quot;family&quot;:&quot;Jones&quot;,&quot;given&quot;:&quot;Owen&quot;,&quot;parse-names&quot;:false,&quot;dropping-particle&quot;:&quot;&quot;,&quot;non-dropping-particle&quot;:&quot;&quot;},{&quot;family&quot;:&quot;Ormerod&quot;,&quot;given&quot;:&quot;Steve J&quot;,&quot;parse-names&quot;:false,&quot;dropping-particle&quot;:&quot;&quot;,&quot;non-dropping-particle&quot;:&quot;&quot;},{&quot;family&quot;:&quot;Durance&quot;,&quot;given&quot;:&quot;Isabelle&quot;,&quot;parse-names&quot;:false,&quot;dropping-particle&quot;:&quot;&quot;,&quot;non-dropping-particle&quot;:&quot;&quot;}],&quot;container-title&quot;:&quot;Environmental Pollution&quot;,&quot;DOI&quot;:&quot;https://doi.org/10.1016/j.envpol.2023.123225&quot;,&quot;ISSN&quot;:&quot;0269-7491&quot;,&quot;URL&quot;:&quot;https://www.sciencedirect.com/science/article/pii/S0269749123022273&quot;,&quot;issued&quot;:{&quot;date-parts&quot;:[[2024]]},&quot;page&quot;:&quot;123225&quot;,&quot;abstract&quot;:&quot;Europe's ageing wastewater system often combines domestic sewage with surface runoff and industrial wastewaters. To reduce the associated risk of overloading wastewater treatment works during storms, and to prevent wastewater backing-up into properties, Combined Sewer Overflows (CSOs) are designed into wastewater networks to release excess discharge into rivers or coastal waters without treatment. In view of growing regulatory scrutiny and increasing public concern about their excessive discharge frequencies and potential impacts on environments and people, there is a need to better understand these impacts to allow prioritisation of cost-effective solutions.We review: i) the chemical, physical and biological composition of CSOs discharges; ii) spatio-temporal variations in the quantity, quality and load of overflows spilling into receiving waters; iii) the potential impacts on people, ecosystems and economies. Despite investigations illustrating the discharge frequency of CSOs, data on spill composition and loading of pollutants are too few to reach representative conclusions, particularly for emerging contaminants. Studies appraising impacts are also scarce, especially in contexts where there are multiple stressors affecting receiving waters. Given the costs of addressing CSOs problems, but also the likely long-term gains (e.g. economic stimulation as well as improvements to biodiversity, ecosystem services, public health and wellbeing), we highlight here the need to bolster these evidence gaps. We also advocate no-regrets options to alleviate CSO problems taking into consideration economic costs, carbon neutrality, ecosystem benefit and community well-being. Besides pragmatic, risk-based investment by utilities and local authorities to modernise wastewater systems, these include i) more systemic thinking, linking policy makers, consumers, utilities and regulators, to shift from local CSO issues to integrated catchment solutions with the aim of reducing contributions to wastewater from surface drainage and water consumption; ii) broader societal responsibilities for CSOs, for example through improved regulation, behavioural changes in water consumption and disposal of waste into wastewater networks, and iii) greater cost-sharing of wastewater use.&quot;,&quot;volume&quot;:&quot;343&quot;,&quot;container-title-short&quot;:&quot;&quot;},&quot;isTemporary&quot;:false}]},{&quot;citationID&quot;:&quot;MENDELEY_CITATION_e66f3470-9d27-48cf-a1aa-2eb5a88ba60e&quot;,&quot;properties&quot;:{&quot;noteIndex&quot;:0},&quot;isEdited&quot;:false,&quot;manualOverride&quot;:{&quot;isManuallyOverridden&quot;:false,&quot;citeprocText&quot;:&quot;(Gasperi et al., 2008)&quot;,&quot;manualOverrideText&quot;:&quot;&quot;},&quot;citationTag&quot;:&quot;MENDELEY_CITATION_v3_eyJjaXRhdGlvbklEIjoiTUVOREVMRVlfQ0lUQVRJT05fZTY2ZjM0NzAtOWQyNy00OGNmLWExYWEtMmViNWE4OGJhNjBlIiwicHJvcGVydGllcyI6eyJub3RlSW5kZXgiOjB9LCJpc0VkaXRlZCI6ZmFsc2UsIm1hbnVhbE92ZXJyaWRlIjp7ImlzTWFudWFsbHlPdmVycmlkZGVuIjpmYWxzZSwiY2l0ZXByb2NUZXh0IjoiKEdhc3BlcmkgZXQgYWwuLCAyMDA4KSIsIm1hbnVhbE92ZXJyaWRlVGV4dCI6IiJ9LCJjaXRhdGlvbkl0ZW1zIjpbeyJpZCI6IjFkN2Q4MjAyLTYwNDQtMzIwOC05MDFiLTMxMjg4MTgzNmI3NCIsIml0ZW1EYXRhIjp7InR5cGUiOiJhcnRpY2xlLWpvdXJuYWwiLCJpZCI6IjFkN2Q4MjAyLTYwNDQtMzIwOC05MDFiLTMxMjg4MTgzNmI3NCIsInRpdGxlIjoiUHJpb3JpdHkgcG9sbHV0YW50cyBpbiB3YXN0ZXdhdGVyIGFuZCBjb21iaW5lZCBzZXdlciBvdmVyZmxvdyIsImF1dGhvciI6W3siZmFtaWx5IjoiR2FzcGVyaSIsImdpdmVuIjoiSm9obm55IiwicGFyc2UtbmFtZXMiOmZhbHNlLCJkcm9wcGluZy1wYXJ0aWNsZSI6IiIsIm5vbi1kcm9wcGluZy1wYXJ0aWNsZSI6IiJ9LHsiZmFtaWx5IjoiR2FybmF1ZCIsImdpdmVuIjoiU3TDqXBoYW5lIiwicGFyc2UtbmFtZXMiOmZhbHNlLCJkcm9wcGluZy1wYXJ0aWNsZSI6IiIsIm5vbi1kcm9wcGluZy1wYXJ0aWNsZSI6IiJ9LHsiZmFtaWx5IjoiUm9jaGVyIiwiZ2l2ZW4iOiJWaW5jZW50IiwicGFyc2UtbmFtZXMiOmZhbHNlLCJkcm9wcGluZy1wYXJ0aWNsZSI6IiIsIm5vbi1kcm9wcGluZy1wYXJ0aWNsZSI6IiJ9LHsiZmFtaWx5IjoiTW9pbGxlcm9uIiwiZ2l2ZW4iOiJSw6lnaXMiLCJwYXJzZS1uYW1lcyI6ZmFsc2UsImRyb3BwaW5nLXBhcnRpY2xlIjoiIiwibm9uLWRyb3BwaW5nLXBhcnRpY2xlIjoiIn1dLCJjb250YWluZXItdGl0bGUiOiJUaGUgU2NpZW5jZSBvZiB0aGUgdG90YWwgZW52aXJvbm1lbnQiLCJjb250YWluZXItdGl0bGUtc2hvcnQiOiJTY2kgVG90YWwgRW52aXJvbiIsIkRPSSI6IjEwLjEwMTYvai5zY2l0b3RlbnYuMjAwOC4wOC4wMTUiLCJpc3N1ZWQiOnsiZGF0ZS1wYXJ0cyI6W1syMDA4LDEwLDFdXX0sInBhZ2UiOiIyNjMtMjcyIiwidm9sdW1lIjoiNDA3In0sImlzVGVtcG9yYXJ5IjpmYWxzZX1dfQ==&quot;,&quot;citationItems&quot;:[{&quot;id&quot;:&quot;1d7d8202-6044-3208-901b-312881836b74&quot;,&quot;itemData&quot;:{&quot;type&quot;:&quot;article-journal&quot;,&quot;id&quot;:&quot;1d7d8202-6044-3208-901b-312881836b74&quot;,&quot;title&quot;:&quot;Priority pollutants in wastewater and combined sewer overflow&quot;,&quot;author&quot;:[{&quot;family&quot;:&quot;Gasperi&quot;,&quot;given&quot;:&quot;Johnny&quot;,&quot;parse-names&quot;:false,&quot;dropping-particle&quot;:&quot;&quot;,&quot;non-dropping-particle&quot;:&quot;&quot;},{&quot;family&quot;:&quot;Garnaud&quot;,&quot;given&quot;:&quot;Stéphane&quot;,&quot;parse-names&quot;:false,&quot;dropping-particle&quot;:&quot;&quot;,&quot;non-dropping-particle&quot;:&quot;&quot;},{&quot;family&quot;:&quot;Rocher&quot;,&quot;given&quot;:&quot;Vincent&quot;,&quot;parse-names&quot;:false,&quot;dropping-particle&quot;:&quot;&quot;,&quot;non-dropping-particle&quot;:&quot;&quot;},{&quot;family&quot;:&quot;Moilleron&quot;,&quot;given&quot;:&quot;Régis&quot;,&quot;parse-names&quot;:false,&quot;dropping-particle&quot;:&quot;&quot;,&quot;non-dropping-particle&quot;:&quot;&quot;}],&quot;container-title&quot;:&quot;The Science of the total environment&quot;,&quot;container-title-short&quot;:&quot;Sci Total Environ&quot;,&quot;DOI&quot;:&quot;10.1016/j.scitotenv.2008.08.015&quot;,&quot;issued&quot;:{&quot;date-parts&quot;:[[2008,10,1]]},&quot;page&quot;:&quot;263-272&quot;,&quot;volume&quot;:&quot;407&quot;},&quot;isTemporary&quot;:false}]},{&quot;citationID&quot;:&quot;MENDELEY_CITATION_618f2124-b389-470a-af25-cc6cf07b0170&quot;,&quot;properties&quot;:{&quot;noteIndex&quot;:0},&quot;isEdited&quot;:false,&quot;manualOverride&quot;:{&quot;isManuallyOverridden&quot;:false,&quot;citeprocText&quot;:&quot;(Gao et al., 2023)&quot;,&quot;manualOverrideText&quot;:&quot;&quot;},&quot;citationTag&quot;:&quot;MENDELEY_CITATION_v3_eyJjaXRhdGlvbklEIjoiTUVOREVMRVlfQ0lUQVRJT05fNjE4ZjIxMjQtYjM4OS00NzBhLWFmMjUtY2M2Y2YwN2IwMTcwIiwicHJvcGVydGllcyI6eyJub3RlSW5kZXgiOjB9LCJpc0VkaXRlZCI6ZmFsc2UsIm1hbnVhbE92ZXJyaWRlIjp7ImlzTWFudWFsbHlPdmVycmlkZGVuIjpmYWxzZSwiY2l0ZXByb2NUZXh0IjoiKEdhbyBldCBhbC4sIDIwMjMpIiwibWFudWFsT3ZlcnJpZGVUZXh0IjoiIn0sImNpdGF0aW9uSXRlbXMiOlt7ImlkIjoiMTcxNWU2ZGQtMDAwNS0zZjNhLTk0NjktMmUzMGJiOTNiNDM4IiwiaXRlbURhdGEiOnsidHlwZSI6ImFydGljbGUtam91cm5hbCIsImlkIjoiMTcxNWU2ZGQtMDAwNS0zZjNhLTk0NjktMmUzMGJiOTNiNDM4IiwidGl0bGUiOiJBIGNyaXRpY2FsIHJldmlldyBvZiB3YXN0ZXdhdGVyIHF1YWxpdHkgdmFyaWF0aW9uIGFuZCBpbi1zZXdlciBwcm9jZXNzZXMgZHVyaW5nIGNvbnZleWFuY2UgaW4gc2V3ZXIgc3lzdGVtcyIsImF1dGhvciI6W3siZmFtaWx5IjoiR2FvIiwiZ2l2ZW4iOiJZYW9odWFuIiwicGFyc2UtbmFtZXMiOmZhbHNlLCJkcm9wcGluZy1wYXJ0aWNsZSI6IiIsIm5vbi1kcm9wcGluZy1wYXJ0aWNsZSI6IiJ9LHsiZmFtaWx5IjoiU2hpIiwiZ2l2ZW4iOiJYdWFuIiwicGFyc2UtbmFtZXMiOmZhbHNlLCJkcm9wcGluZy1wYXJ0aWNsZSI6IiIsIm5vbi1kcm9wcGluZy1wYXJ0aWNsZSI6IiJ9LHsiZmFtaWx5IjoiSmluIiwiZ2l2ZW4iOiJYaW4iLCJwYXJzZS1uYW1lcyI6ZmFsc2UsImRyb3BwaW5nLXBhcnRpY2xlIjoiIiwibm9uLWRyb3BwaW5nLXBhcnRpY2xlIjoiIn0seyJmYW1pbHkiOiJXYW5nIiwiZ2l2ZW4iOiJYaWFvY2hhbmcgQyIsInBhcnNlLW5hbWVzIjpmYWxzZSwiZHJvcHBpbmctcGFydGljbGUiOiIiLCJub24tZHJvcHBpbmctcGFydGljbGUiOiIifSx7ImZhbWlseSI6IkppbiIsImdpdmVuIjoiUGVuZ2thbmciLCJwYXJzZS1uYW1lcyI6ZmFsc2UsImRyb3BwaW5nLXBhcnRpY2xlIjoiIiwibm9uLWRyb3BwaW5nLXBhcnRpY2xlIjoiIn1dLCJjb250YWluZXItdGl0bGUiOiJXYXRlciBSZXNlYXJjaCIsImNvbnRhaW5lci10aXRsZS1zaG9ydCI6IldhdGVyIFJlcyIsIkRPSSI6Imh0dHBzOi8vZG9pLm9yZy8xMC4xMDE2L2oud2F0cmVzLjIwMjIuMTE5Mzk4IiwiSVNTTiI6IjAwNDMtMTM1NCIsIlVSTCI6Imh0dHBzOi8vd3d3LnNjaWVuY2VkaXJlY3QuY29tL3NjaWVuY2UvYXJ0aWNsZS9waWkvUzAwNDMxMzU0MjIwMTM0MzQiLCJpc3N1ZWQiOnsiZGF0ZS1wYXJ0cyI6W1syMDIzXV19LCJwYWdlIjoiMTE5Mzk4IiwiYWJzdHJhY3QiOiJJbi1zZXdlciBwaHlzaW8tYmlvY2hlbWljYWwgcHJvY2Vzc2VzIGNhdXNlIHNpZ25pZmljYW50IHZhcmlhdGlvbnMgb2Ygd2FzdGV3YXRlciBxdWFsaXR5IGR1cmluZyBjb252ZXlhbmNlLCB3aGljaCBhZmZlY3RzIHRoZSBpbmZsdWVudCB0byBhIHdhc3Rld2F0ZXIgdHJlYXRtZW50IHBsYW50IChXV1RQKSBhbmQgYXJndWFibHkgdGhlIG1pY3JvYmlhbCBjb21tdW5pdHkgb2YgYmlvbG9naWNhbCB0cmVhdG1lbnQgdW5pdHMgaW4gYSBXV1RQLiBJbiB3ZXQgd2VhdGhlciwgY29udGFtaW5hbnRzIHN0b3JlZCBpbiBzZXdlciBkZXBvc2l0cyBjYW4gYmUgcmVzdXNwZW5kZWQgYW5kIG1pZ3JhdGUgZG93bnN0cmVhbSBvciBiZSByZWxlYXNlZCBkdXJpbmcgY29tYmluZWQgc2V3ZXIgb3ZlcmZsb3dzIHRvIHRoZSB1cmJhbiB3YXRlciBib2RpZXMsIHBvc2luZyBjaGFsbGVuZ2VzIHRvIHRoZSB0cmVhdG1lbnQgZmFjaWxpdGllcyBvciBlbmRhbmdlcmluZyB1cmJhbiB3YXRlciBxdWFsaXR5LiBUaGVyZWZvcmUsIGluLXNld2VyIHRyYW5zZm9ybWF0aW9uIGFuZCBtaWdyYXRpb24gb2YgY29udGFtaW5hbnRzIGhhdmUgYmVlbiBleHRlbnNpdmVseSBzdHVkaWVkLiBUaGUgY29tcGlsZWQgcmVzdWx0cyBmcm9tIHJlcHJlc2VudGF0aXZlIHJlc2VhcmNoIGluIHRoZSBwYXN0IGZldyBkZWNhZGVzIHNob3dlZCB0aGF0IGJpb2NoZW1pY2FsIHJlYWN0aW9ucyBhcmUgYm90aCBjcm9zcy1zZWN0aW9uYWxseSBhbmQgbG9uZ2l0dWRpbmFsbHkgb3JnYW5pemVkIGluIHRoZSBkZXBvc2l0cyBhbmQgdGhlIHNld2FnZSwgZm9sbG93aW5nIHRoZSByZWRveCBwb3RlbnRpYWwgYXMgd2VsbCBhcyB0aGUgc2VxdWVuY2Ugb2YgbWFjcm9tb2xlY3VsZS9jb250YW1pbmFudCBkZWdyYWRhdGlvbi4gVGhlIHNld2FnZSBvcmdhbmljIGNvbnRlbnRzIGFuZCBzZXdlciBiaW9maWxtIG1pY3Jvb3JnYW5pc21zIHdlcmUgZm91bmQgdG8gY292YXJ5IGJ1dCBtb3JlIHN5c3RlbWF0aWMgc3R1ZGllcyBhcmUgcmVxdWlyZWQgdG8gZXhhbWluZSB0aGUgdGVtcG9yYWwgc3RhYmlsaXR5IG9mIHRoZSBmZWF0dXJlLiBCZXNpZGVzLCB1bmlxdWUgY29tbXVuaXRpZXMgY2FuIGJlIGRldmVsb3BlZCBpbiB0aGUgc2V3YWdlIHBoYXNlLiBUaGUgZW5yaWNobWVudCBvZiB0aGUgbWFqb3Igc2V3YWdlLWFzc29jaWF0ZWQgbWljcm9vcmdhbmlzbXMgY2FuIGJlIGV4cGxhaW5lZCBieSB0aGUgYXZhaWxhYmlsaXR5IG9mIGJpb2RlZ3JhZGFibGUgb3JnYW5pYyBjb250ZW50cyBpbiBzZXdlcnMuIFRoZSBzZXdlciBkZXBvc2l0cywgaW5jbHVkaW5nIGJpb2ZpbG1zLCBoYXJib3IgYm90aCBtaWNyb29yZ2FuaXNtcyBhbmQgY29udGFtaW5hbnRzIGFuZCB1c3VhbGx5IGNhbiBwcm92aWRlIGxvbmdlciByZXNpZGVuY2UgdGltZSBmb3IgaW4tc2V3ZXIgdHJhbnNmb3JtYXRpb24gdGhhbiB3YXN0ZXdhdGVyLiBIb3dldmVyLCB0aGUgaW50ZXJyZWxhdGlvbnNoaXBzIGFtb25nIGNvbnRhbWluYW50IHRyYW5zZm9ybWF0aW9uLCBtaWNyb29yZ2FuaXNtcyBpbiB0aGUgZGVwb3NpdHMvYmlvZmlsbXMsIGFuZCB0aG9zZSBpbiB0aGUgc2V3YWdlIGFyZSBsYXJnZWx5IHVuY2xlYXIuIFNwZWNpZmljYWxseSwgdGhlIGZvcm1hdGlvbiBhbmQgbWlncmF0aW9uIG9mIEZPRyAoZmF0LCBvaWwsIGFuZCBncmVhc2UpIGRlcG9zaXRzLCBnZW5lcmF0aW9uIGFuZCB0cmFuc3BvcnQgb2YgY29udGFtaW5hbnRzIGluIHRoZSBzZXdlciBhdG1vc3BoZXJlIChlLmcuLCBIMlMsIENINCwgdm9sYXRpbGUgb3JnYW5pYyBjb21wb3VuZHMsIGJpb2Flcm9zb2xzKSwgdHJhbnNwb3J0IGFuZCB0cmFuc2Zvcm1hdGlvbiBvZiBub25jb252ZW50aW9uYWwgY29udGFtaW5hbnRzLCBzdWNoIGFzIHBoYXJtYWNldXRpY2FscyBhbmQgcGVyc29uYWwgY2FyZSBwcm9kdWN0cywgYW5kIHdhc3Rld2F0ZXIgcXVhbGl0eSB2YXJpYXRpb24gZHVyaW5nIHRoZSBiaW9maWxtIHJlaGFiaWxpdGF0aW9uIHBlcmlvZCBhZnRlciBkYW1hZ2VzIGNhdXNlZCBieSByYWlucy9zdG9ybXMgYXJlIHNvbWUgdG9waWNzIGZvciBmdXR1cmUgcmVzZWFyY2guIE1vcmVvdmVyLCBzeXN0ZW1hdGljIGFuZCBzdGFuZGFyZGl6ZWQgZmllbGQgYW5hbHlzaXMgb2YgcmVhbCBzZXdlcnMgdW5kZXIgZHluYW1pYyB3YXN0ZXdhdGVyIGRpc2NoYXJnZSBjb25kaXRpb25zIGlzIG5lY2Vzc2FyeS4gV2UgYmVsaWV2ZSB0aGF0IGFuIGltcHJvdmVkIHVuZGVyc3RhbmRpbmcgb2YgdGhlc2UgcHJvY2Vzc2VzIHdvdWxkIGFzc2lzdCBpbiBzZXdlciBtYW5hZ2VtZW50IGFuZCBiZXR0ZXIgcHJlcGFyZSB1cyBmb3IgdGhlIGNoYWxsZW5nZXMgYnJvdWdodCBhYm91dCBieSBjbGltYXRlIGNoYW5nZSBhbmQgd2F0ZXIgc2hvcnRhZ2UuIiwidm9sdW1lIjoiMjI4In0sImlzVGVtcG9yYXJ5IjpmYWxzZX1dfQ==&quot;,&quot;citationItems&quot;:[{&quot;id&quot;:&quot;1715e6dd-0005-3f3a-9469-2e30bb93b438&quot;,&quot;itemData&quot;:{&quot;type&quot;:&quot;article-journal&quot;,&quot;id&quot;:&quot;1715e6dd-0005-3f3a-9469-2e30bb93b438&quot;,&quot;title&quot;:&quot;A critical review of wastewater quality variation and in-sewer processes during conveyance in sewer systems&quot;,&quot;author&quot;:[{&quot;family&quot;:&quot;Gao&quot;,&quot;given&quot;:&quot;Yaohuan&quot;,&quot;parse-names&quot;:false,&quot;dropping-particle&quot;:&quot;&quot;,&quot;non-dropping-particle&quot;:&quot;&quot;},{&quot;family&quot;:&quot;Shi&quot;,&quot;given&quot;:&quot;Xuan&quot;,&quot;parse-names&quot;:false,&quot;dropping-particle&quot;:&quot;&quot;,&quot;non-dropping-particle&quot;:&quot;&quot;},{&quot;family&quot;:&quot;Jin&quot;,&quot;given&quot;:&quot;Xin&quot;,&quot;parse-names&quot;:false,&quot;dropping-particle&quot;:&quot;&quot;,&quot;non-dropping-particle&quot;:&quot;&quot;},{&quot;family&quot;:&quot;Wang&quot;,&quot;given&quot;:&quot;Xiaochang C&quot;,&quot;parse-names&quot;:false,&quot;dropping-particle&quot;:&quot;&quot;,&quot;non-dropping-particle&quot;:&quot;&quot;},{&quot;family&quot;:&quot;Jin&quot;,&quot;given&quot;:&quot;Pengkang&quot;,&quot;parse-names&quot;:false,&quot;dropping-particle&quot;:&quot;&quot;,&quot;non-dropping-particle&quot;:&quot;&quot;}],&quot;container-title&quot;:&quot;Water Research&quot;,&quot;container-title-short&quot;:&quot;Water Res&quot;,&quot;DOI&quot;:&quot;https://doi.org/10.1016/j.watres.2022.119398&quot;,&quot;ISSN&quot;:&quot;0043-1354&quot;,&quot;URL&quot;:&quot;https://www.sciencedirect.com/science/article/pii/S0043135422013434&quot;,&quot;issued&quot;:{&quot;date-parts&quot;:[[2023]]},&quot;page&quot;:&quot;119398&quot;,&quot;abstract&quot;:&quot;In-sewer physio-biochemical processes cause significant variations of wastewater quality during conveyance, which affects the influent to a wastewater treatment plant (WWTP) and arguably the microbial community of biological treatment units in a WWTP. In wet weather, contaminants stored in sewer deposits can be resuspended and migrate downstream or be released during combined sewer overflows to the urban water bodies, posing challenges to the treatment facilities or endangering urban water quality. Therefore, in-sewer transformation and migration of contaminants have been extensively studied. The compiled results from representative research in the past few decades showed that biochemical reactions are both cross-sectionally and longitudinally organized in the deposits and the sewage, following the redox potential as well as the sequence of macromolecule/contaminant degradation. The sewage organic contents and sewer biofilm microorganisms were found to covary but more systematic studies are required to examine the temporal stability of the feature. Besides, unique communities can be developed in the sewage phase. The enrichment of the major sewage-associated microorganisms can be explained by the availability of biodegradable organic contents in sewers. The sewer deposits, including biofilms, harbor both microorganisms and contaminants and usually can provide longer residence time for in-sewer transformation than wastewater. However, the interrelationships among contaminant transformation, microorganisms in the deposits/biofilms, and those in the sewage are largely unclear. Specifically, the formation and migration of FOG (fat, oil, and grease) deposits, generation and transport of contaminants in the sewer atmosphere (e.g., H2S, CH4, volatile organic compounds, bioaerosols), transport and transformation of nonconventional contaminants, such as pharmaceuticals and personal care products, and wastewater quality variation during the biofilm rehabilitation period after damages caused by rains/storms are some topics for future research. Moreover, systematic and standardized field analysis of real sewers under dynamic wastewater discharge conditions is necessary. We believe that an improved understanding of these processes would assist in sewer management and better prepare us for the challenges brought about by climate change and water shortage.&quot;,&quot;volume&quot;:&quot;228&quot;},&quot;isTemporary&quot;:false}]},{&quot;citationID&quot;:&quot;MENDELEY_CITATION_a55d6c93-2419-4651-ae0c-f9946a429cf5&quot;,&quot;properties&quot;:{&quot;noteIndex&quot;:0},&quot;isEdited&quot;:false,&quot;manualOverride&quot;:{&quot;isManuallyOverridden&quot;:false,&quot;citeprocText&quot;:&quot;(Chrysochoidis et al., 2025)&quot;,&quot;manualOverrideText&quot;:&quot;&quot;},&quot;citationItems&quot;:[{&quot;id&quot;:&quot;2681380d-02d1-3943-91ce-030f87a2e1b1&quot;,&quot;itemData&quot;:{&quot;type&quot;:&quot;article-journal&quot;,&quot;id&quot;:&quot;2681380d-02d1-3943-91ce-030f87a2e1b1&quot;,&quot;title&quot;:&quot;Rethinking modelling of particulate pollutants in combined sewer overflows (CSOs): A focus on model structure&quot;,&quot;author&quot;:[{&quot;family&quot;:&quot;Chrysochoidis&quot;,&quot;given&quot;:&quot;Vasileios&quot;,&quot;parse-names&quot;:false,&quot;dropping-particle&quot;:&quot;&quot;,&quot;non-dropping-particle&quot;:&quot;&quot;},{&quot;family&quot;:&quot;Gruber&quot;,&quot;given&quot;:&quot;Günter&quot;,&quot;parse-names&quot;:false,&quot;dropping-particle&quot;:&quot;&quot;,&quot;non-dropping-particle&quot;:&quot;&quot;},{&quot;family&quot;:&quot;Hofer&quot;,&quot;given&quot;:&quot;Thomas&quot;,&quot;parse-names&quot;:false,&quot;dropping-particle&quot;:&quot;&quot;,&quot;non-dropping-particle&quot;:&quot;&quot;},{&quot;family&quot;:&quot;Mikkelsen&quot;,&quot;given&quot;:&quot;Peter Steen&quot;,&quot;parse-names&quot;:false,&quot;dropping-particle&quot;:&quot;&quot;,&quot;non-dropping-particle&quot;:&quot;&quot;},{&quot;family&quot;:&quot;Vezzaro&quot;,&quot;given&quot;:&quot;Luca&quot;,&quot;parse-names&quot;:false,&quot;dropping-particle&quot;:&quot;&quot;,&quot;non-dropping-particle&quot;:&quot;&quot;}],&quot;container-title&quot;:&quot;Journal of Hydrology&quot;,&quot;container-title-short&quot;:&quot;J Hydrol (Amst)&quot;,&quot;DOI&quot;:&quot;https://doi.org/10.1016/j.jhydrol.2025.133239&quot;,&quot;ISSN&quot;:&quot;0022-1694&quot;,&quot;URL&quot;:&quot;https://www.sciencedirect.com/science/article/pii/S0022169425005773&quot;,&quot;issued&quot;:{&quot;date-parts&quot;:[[2025]]},&quot;page&quot;:&quot;133239&quot;,&quot;abstract&quot;:&quot;The persistent challenge of combined sewer overflows (CSOs) in urban drainage systems is exacerbated by climate change and urban growth, with increased attention on water quality historically overshadowed by water quantity monitoring. Modelling CSO water quality challenges is affected by several known challenges, especially for particulate pollutants (i.e., data uncertainties, overparameterization, and non-transferability). This study assesses the impacts of model structure and output resolution (aggregated yearly, inter-event and intra-event basis) on model performance when predicting particulate pollutants levels during CSO events. Four model structures are compared for their ability to simulate the TSS discharge load profile at the inlet of a CSO chamber in Graz, Austria, using Mean Absolute Percentage Error (MAPE) and Dynamic Time Warping (DTW) to assess accuracy and profile similarity with observed data. The model structures include two physics-based (detailed hydrodynamic, conceptual) and two data-driven approaches (hybrid machine learning, empirical). Alternative models are proposed to improve model performance, considering a multi-model, a stochastic approach, and an event-based clustering. We showed that data-driven models captured in-sewer processes that are unexplained and not incorporated in physical process-based models. Our results underline the high inter-event variability of CSO pollutant dynamics, showing how a uniform deterministic modelling approach for all wet-weather events leads to poor performance. Intra-event assessment shows significant deficiencies across all models. The use of stochastic approaches and event clustering techniques did not improve to better model performance notably, advocating for a new generation of modelling approaches that explicitly consider the highly spatial and temporal heterogeneity of in-sewer processes.&quot;,&quot;volume&quot;:&quot;659&quot;},&quot;isTemporary&quot;:false}],&quot;citationTag&quot;:&quot;MENDELEY_CITATION_v3_eyJjaXRhdGlvbklEIjoiTUVOREVMRVlfQ0lUQVRJT05fYTU1ZDZjOTMtMjQxOS00NjUxLWFlMGMtZjk5NDZhNDI5Y2Y1IiwicHJvcGVydGllcyI6eyJub3RlSW5kZXgiOjB9LCJpc0VkaXRlZCI6ZmFsc2UsIm1hbnVhbE92ZXJyaWRlIjp7ImlzTWFudWFsbHlPdmVycmlkZGVuIjpmYWxzZSwiY2l0ZXByb2NUZXh0IjoiKENocnlzb2Nob2lkaXMgZXQgYWwuLCAyMDI1KSIsIm1hbnVhbE92ZXJyaWRlVGV4dCI6IiJ9LCJjaXRhdGlvbkl0ZW1zIjpbeyJpZCI6IjI2ODEzODBkLTAyZDEtMzk0My05MWNlLTAzMGY4N2EyZTFiMSIsIml0ZW1EYXRhIjp7InR5cGUiOiJhcnRpY2xlLWpvdXJuYWwiLCJpZCI6IjI2ODEzODBkLTAyZDEtMzk0My05MWNlLTAzMGY4N2EyZTFiMSIsInRpdGxlIjoiUmV0aGlua2luZyBtb2RlbGxpbmcgb2YgcGFydGljdWxhdGUgcG9sbHV0YW50cyBpbiBjb21iaW5lZCBzZXdlciBvdmVyZmxvd3MgKENTT3MpOiBBIGZvY3VzIG9uIG1vZGVsIHN0cnVjdHVyZSIsImF1dGhvciI6W3siZmFtaWx5IjoiQ2hyeXNvY2hvaWRpcyIsImdpdmVuIjoiVmFzaWxlaW9zIiwicGFyc2UtbmFtZXMiOmZhbHNlLCJkcm9wcGluZy1wYXJ0aWNsZSI6IiIsIm5vbi1kcm9wcGluZy1wYXJ0aWNsZSI6IiJ9LHsiZmFtaWx5IjoiR3J1YmVyIiwiZ2l2ZW4iOiJHw7xudGVyIiwicGFyc2UtbmFtZXMiOmZhbHNlLCJkcm9wcGluZy1wYXJ0aWNsZSI6IiIsIm5vbi1kcm9wcGluZy1wYXJ0aWNsZSI6IiJ9LHsiZmFtaWx5IjoiSG9mZXIiLCJnaXZlbiI6IlRob21hcyIsInBhcnNlLW5hbWVzIjpmYWxzZSwiZHJvcHBpbmctcGFydGljbGUiOiIiLCJub24tZHJvcHBpbmctcGFydGljbGUiOiIifSx7ImZhbWlseSI6Ik1pa2tlbHNlbiIsImdpdmVuIjoiUGV0ZXIgU3RlZW4iLCJwYXJzZS1uYW1lcyI6ZmFsc2UsImRyb3BwaW5nLXBhcnRpY2xlIjoiIiwibm9uLWRyb3BwaW5nLXBhcnRpY2xlIjoiIn0seyJmYW1pbHkiOiJWZXp6YXJvIiwiZ2l2ZW4iOiJMdWNhIiwicGFyc2UtbmFtZXMiOmZhbHNlLCJkcm9wcGluZy1wYXJ0aWNsZSI6IiIsIm5vbi1kcm9wcGluZy1wYXJ0aWNsZSI6IiJ9XSwiY29udGFpbmVyLXRpdGxlIjoiSm91cm5hbCBvZiBIeWRyb2xvZ3kiLCJjb250YWluZXItdGl0bGUtc2hvcnQiOiJKIEh5ZHJvbCAoQW1zdCkiLCJET0kiOiJodHRwczovL2RvaS5vcmcvMTAuMTAxNi9qLmpoeWRyb2wuMjAyNS4xMzMyMzkiLCJJU1NOIjoiMDAyMi0xNjk0IiwiVVJMIjoiaHR0cHM6Ly93d3cuc2NpZW5jZWRpcmVjdC5jb20vc2NpZW5jZS9hcnRpY2xlL3BpaS9TMDAyMjE2OTQyNTAwNTc3MyIsImlzc3VlZCI6eyJkYXRlLXBhcnRzIjpbWzIwMjVdXX0sInBhZ2UiOiIxMzMyMzkiLCJhYnN0cmFjdCI6IlRoZSBwZXJzaXN0ZW50IGNoYWxsZW5nZSBvZiBjb21iaW5lZCBzZXdlciBvdmVyZmxvd3MgKENTT3MpIGluIHVyYmFuIGRyYWluYWdlIHN5c3RlbXMgaXMgZXhhY2VyYmF0ZWQgYnkgY2xpbWF0ZSBjaGFuZ2UgYW5kIHVyYmFuIGdyb3d0aCwgd2l0aCBpbmNyZWFzZWQgYXR0ZW50aW9uIG9uIHdhdGVyIHF1YWxpdHkgaGlzdG9yaWNhbGx5IG92ZXJzaGFkb3dlZCBieSB3YXRlciBxdWFudGl0eSBtb25pdG9yaW5nLiBNb2RlbGxpbmcgQ1NPIHdhdGVyIHF1YWxpdHkgY2hhbGxlbmdlcyBpcyBhZmZlY3RlZCBieSBzZXZlcmFsIGtub3duIGNoYWxsZW5nZXMsIGVzcGVjaWFsbHkgZm9yIHBhcnRpY3VsYXRlIHBvbGx1dGFudHMgKGkuZS4sIGRhdGEgdW5jZXJ0YWludGllcywgb3ZlcnBhcmFtZXRlcml6YXRpb24sIGFuZCBub24tdHJhbnNmZXJhYmlsaXR5KS4gVGhpcyBzdHVkeSBhc3Nlc3NlcyB0aGUgaW1wYWN0cyBvZiBtb2RlbCBzdHJ1Y3R1cmUgYW5kIG91dHB1dCByZXNvbHV0aW9uIChhZ2dyZWdhdGVkIHllYXJseSwgaW50ZXItZXZlbnQgYW5kIGludHJhLWV2ZW50IGJhc2lzKSBvbiBtb2RlbCBwZXJmb3JtYW5jZSB3aGVuIHByZWRpY3RpbmcgcGFydGljdWxhdGUgcG9sbHV0YW50cyBsZXZlbHMgZHVyaW5nIENTTyBldmVudHMuIEZvdXIgbW9kZWwgc3RydWN0dXJlcyBhcmUgY29tcGFyZWQgZm9yIHRoZWlyIGFiaWxpdHkgdG8gc2ltdWxhdGUgdGhlIFRTUyBkaXNjaGFyZ2UgbG9hZCBwcm9maWxlIGF0IHRoZSBpbmxldCBvZiBhIENTTyBjaGFtYmVyIGluIEdyYXosIEF1c3RyaWEsIHVzaW5nIE1lYW4gQWJzb2x1dGUgUGVyY2VudGFnZSBFcnJvciAoTUFQRSkgYW5kIER5bmFtaWMgVGltZSBXYXJwaW5nIChEVFcpIHRvIGFzc2VzcyBhY2N1cmFjeSBhbmQgcHJvZmlsZSBzaW1pbGFyaXR5IHdpdGggb2JzZXJ2ZWQgZGF0YS4gVGhlIG1vZGVsIHN0cnVjdHVyZXMgaW5jbHVkZSB0d28gcGh5c2ljcy1iYXNlZCAoZGV0YWlsZWQgaHlkcm9keW5hbWljLCBjb25jZXB0dWFsKSBhbmQgdHdvIGRhdGEtZHJpdmVuIGFwcHJvYWNoZXMgKGh5YnJpZCBtYWNoaW5lIGxlYXJuaW5nLCBlbXBpcmljYWwpLiBBbHRlcm5hdGl2ZSBtb2RlbHMgYXJlIHByb3Bvc2VkIHRvIGltcHJvdmUgbW9kZWwgcGVyZm9ybWFuY2UsIGNvbnNpZGVyaW5nIGEgbXVsdGktbW9kZWwsIGEgc3RvY2hhc3RpYyBhcHByb2FjaCwgYW5kIGFuIGV2ZW50LWJhc2VkIGNsdXN0ZXJpbmcuIFdlIHNob3dlZCB0aGF0IGRhdGEtZHJpdmVuIG1vZGVscyBjYXB0dXJlZCBpbi1zZXdlciBwcm9jZXNzZXMgdGhhdCBhcmUgdW5leHBsYWluZWQgYW5kIG5vdCBpbmNvcnBvcmF0ZWQgaW4gcGh5c2ljYWwgcHJvY2Vzcy1iYXNlZCBtb2RlbHMuIE91ciByZXN1bHRzIHVuZGVybGluZSB0aGUgaGlnaCBpbnRlci1ldmVudCB2YXJpYWJpbGl0eSBvZiBDU08gcG9sbHV0YW50IGR5bmFtaWNzLCBzaG93aW5nIGhvdyBhIHVuaWZvcm0gZGV0ZXJtaW5pc3RpYyBtb2RlbGxpbmcgYXBwcm9hY2ggZm9yIGFsbCB3ZXQtd2VhdGhlciBldmVudHMgbGVhZHMgdG8gcG9vciBwZXJmb3JtYW5jZS4gSW50cmEtZXZlbnQgYXNzZXNzbWVudCBzaG93cyBzaWduaWZpY2FudCBkZWZpY2llbmNpZXMgYWNyb3NzIGFsbCBtb2RlbHMuIFRoZSB1c2Ugb2Ygc3RvY2hhc3RpYyBhcHByb2FjaGVzIGFuZCBldmVudCBjbHVzdGVyaW5nIHRlY2huaXF1ZXMgZGlkIG5vdCBpbXByb3ZlIHRvIGJldHRlciBtb2RlbCBwZXJmb3JtYW5jZSBub3RhYmx5LCBhZHZvY2F0aW5nIGZvciBhIG5ldyBnZW5lcmF0aW9uIG9mIG1vZGVsbGluZyBhcHByb2FjaGVzIHRoYXQgZXhwbGljaXRseSBjb25zaWRlciB0aGUgaGlnaGx5IHNwYXRpYWwgYW5kIHRlbXBvcmFsIGhldGVyb2dlbmVpdHkgb2YgaW4tc2V3ZXIgcHJvY2Vzc2VzLiIsInZvbHVtZSI6IjY1OSJ9LCJpc1RlbXBvcmFyeSI6ZmFsc2V9XX0=&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94B1A8-30EA-47C3-9BE1-854FC3C60657}">
  <ds:schemaRefs>
    <ds:schemaRef ds:uri="http://schemas.openxmlformats.org/officeDocument/2006/bibliography"/>
  </ds:schemaRefs>
</ds:datastoreItem>
</file>

<file path=customXml/itemProps2.xml><?xml version="1.0" encoding="utf-8"?>
<ds:datastoreItem xmlns:ds="http://schemas.openxmlformats.org/officeDocument/2006/customXml" ds:itemID="{631CEECC-60D7-48BB-8CA1-553EC0C165BB}"/>
</file>

<file path=customXml/itemProps3.xml><?xml version="1.0" encoding="utf-8"?>
<ds:datastoreItem xmlns:ds="http://schemas.openxmlformats.org/officeDocument/2006/customXml" ds:itemID="{347C9AF1-30B4-4625-972D-A3926B7EADFF}"/>
</file>

<file path=customXml/itemProps4.xml><?xml version="1.0" encoding="utf-8"?>
<ds:datastoreItem xmlns:ds="http://schemas.openxmlformats.org/officeDocument/2006/customXml" ds:itemID="{B2BC3BEB-B4F7-4473-88E4-6BC3EA3D7BBA}"/>
</file>

<file path=docProps/app.xml><?xml version="1.0" encoding="utf-8"?>
<Properties xmlns="http://schemas.openxmlformats.org/officeDocument/2006/extended-properties" xmlns:vt="http://schemas.openxmlformats.org/officeDocument/2006/docPropsVTypes">
  <Template>Normal</Template>
  <TotalTime>257</TotalTime>
  <Pages>4</Pages>
  <Words>2346</Words>
  <Characters>14316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Novatech 2026 abstract</vt:lpstr>
      <vt:lpstr>communication novatech</vt:lpstr>
    </vt:vector>
  </TitlesOfParts>
  <Company>GRAIE</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Vasileios Chrysochoidis</cp:lastModifiedBy>
  <cp:revision>20</cp:revision>
  <cp:lastPrinted>2003-09-03T12:25:00Z</cp:lastPrinted>
  <dcterms:created xsi:type="dcterms:W3CDTF">2025-12-10T10:58:00Z</dcterms:created>
  <dcterms:modified xsi:type="dcterms:W3CDTF">2025-12-10T15:44:00Z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0x010100EF60F44DFF40DC49B22F1290DAC27D35</vt:lpwstr>
  </property>
</Properties>
</file>