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B2FF8A" w14:textId="4379B87A" w:rsidR="007432AC" w:rsidRPr="00F4680E" w:rsidRDefault="00F4680E" w:rsidP="00AA6B58">
      <w:pPr>
        <w:pStyle w:val="1Translation"/>
        <w:jc w:val="both"/>
        <w:rPr>
          <w:b/>
          <w:bCs/>
          <w:color w:val="00708E"/>
          <w:lang w:val="en-US"/>
        </w:rPr>
      </w:pPr>
      <w:r w:rsidRPr="00F4680E">
        <w:rPr>
          <w:b/>
          <w:bCs/>
          <w:color w:val="00708E"/>
          <w:lang w:val="en-US"/>
        </w:rPr>
        <w:t>Climate-resilient urban drainage through AI-supported sewer network management: An integrated infrastructure retrofit for the city of Jena</w:t>
      </w:r>
      <w:r w:rsidR="007432AC" w:rsidRPr="00F4680E">
        <w:rPr>
          <w:b/>
          <w:bCs/>
          <w:color w:val="00708E"/>
          <w:lang w:val="en-US"/>
        </w:rPr>
        <w:t xml:space="preserve"> (InSchuKa4.0)</w:t>
      </w:r>
    </w:p>
    <w:p w14:paraId="1C29C5A9" w14:textId="7F564357" w:rsidR="00AA6B58" w:rsidRPr="00921347" w:rsidRDefault="00AA6B58" w:rsidP="00AA6B58">
      <w:pPr>
        <w:pStyle w:val="1Translation"/>
        <w:jc w:val="both"/>
        <w:rPr>
          <w:lang w:val="fr-FR"/>
        </w:rPr>
      </w:pPr>
      <w:r w:rsidRPr="00921347">
        <w:rPr>
          <w:b/>
          <w:bCs/>
          <w:lang w:val="fr-FR"/>
        </w:rPr>
        <w:t xml:space="preserve">Un système de drainage urbain qui résiste au changement climatique grâce à la gestion des réseaux d'égouts par l'IA : une rénovation intégrée des infrastructures pour la ville de Iéna (InSchuKa4.0) </w:t>
      </w:r>
    </w:p>
    <w:p w14:paraId="1E2FB413" w14:textId="71B38E8D" w:rsidR="007432AC" w:rsidRPr="007432AC" w:rsidRDefault="002F4A0A" w:rsidP="00921347">
      <w:pPr>
        <w:pStyle w:val="3names"/>
        <w:ind w:left="1416"/>
      </w:pPr>
      <w:r>
        <w:rPr>
          <w:color w:val="CF007E"/>
        </w:rPr>
        <w:br/>
      </w:r>
      <w:r w:rsidR="007432AC" w:rsidRPr="007432AC">
        <w:t>Prof. G</w:t>
      </w:r>
      <w:r w:rsidR="00E6625A">
        <w:t>ue</w:t>
      </w:r>
      <w:r w:rsidR="007432AC" w:rsidRPr="007432AC">
        <w:t>nter M</w:t>
      </w:r>
      <w:r w:rsidR="00E6625A">
        <w:t>ue</w:t>
      </w:r>
      <w:r w:rsidR="007432AC" w:rsidRPr="007432AC">
        <w:t>ller-</w:t>
      </w:r>
      <w:proofErr w:type="spellStart"/>
      <w:r w:rsidR="007432AC" w:rsidRPr="007432AC">
        <w:t>Czygan</w:t>
      </w:r>
      <w:proofErr w:type="spellEnd"/>
      <w:r w:rsidR="007432AC" w:rsidRPr="007432AC">
        <w:t xml:space="preserve">,  </w:t>
      </w:r>
    </w:p>
    <w:p w14:paraId="1E1F83D1" w14:textId="1D86F946" w:rsidR="007432AC" w:rsidRPr="007432AC" w:rsidRDefault="007432AC" w:rsidP="00921347">
      <w:pPr>
        <w:pStyle w:val="3names"/>
        <w:rPr>
          <w:lang w:val="de-DE"/>
        </w:rPr>
      </w:pPr>
      <w:r w:rsidRPr="007432AC">
        <w:rPr>
          <w:lang w:val="de-DE"/>
        </w:rPr>
        <w:t>Prof. Dr.-Ing. habil. J</w:t>
      </w:r>
      <w:r w:rsidR="00E6625A">
        <w:rPr>
          <w:lang w:val="de-DE"/>
        </w:rPr>
        <w:t>ue</w:t>
      </w:r>
      <w:r w:rsidRPr="007432AC">
        <w:rPr>
          <w:lang w:val="de-DE"/>
        </w:rPr>
        <w:t>rgen Wiese</w:t>
      </w:r>
    </w:p>
    <w:p w14:paraId="03C2649C" w14:textId="6F74583A" w:rsidR="007432AC" w:rsidRPr="00736F73" w:rsidRDefault="007432AC" w:rsidP="00921347">
      <w:pPr>
        <w:pStyle w:val="3names"/>
        <w:rPr>
          <w:lang w:val="en-US"/>
        </w:rPr>
      </w:pPr>
      <w:r w:rsidRPr="00736F73">
        <w:rPr>
          <w:lang w:val="en-US"/>
        </w:rPr>
        <w:t xml:space="preserve">Martin Bohatsch </w:t>
      </w:r>
    </w:p>
    <w:p w14:paraId="4A932A8A" w14:textId="42C80130" w:rsidR="00DE20F1" w:rsidRPr="002F4A0A" w:rsidRDefault="007432AC" w:rsidP="00921347">
      <w:pPr>
        <w:pStyle w:val="3names"/>
      </w:pPr>
      <w:r w:rsidRPr="00736F73">
        <w:rPr>
          <w:lang w:val="en-US"/>
        </w:rPr>
        <w:t>Robert K</w:t>
      </w:r>
      <w:r w:rsidR="00E6625A">
        <w:rPr>
          <w:lang w:val="en-US"/>
        </w:rPr>
        <w:t>oe</w:t>
      </w:r>
      <w:r w:rsidRPr="00736F73">
        <w:rPr>
          <w:lang w:val="en-US"/>
        </w:rPr>
        <w:t>llner</w:t>
      </w:r>
    </w:p>
    <w:p w14:paraId="0AD3BEC8" w14:textId="2F16FC85" w:rsidR="00DE20F1" w:rsidRPr="00FF34CD" w:rsidRDefault="00DE20F1" w:rsidP="00397B39">
      <w:pPr>
        <w:pStyle w:val="4organisme"/>
        <w:rPr>
          <w:rFonts w:cstheme="minorHAnsi"/>
          <w:lang w:val="en-US"/>
        </w:rPr>
      </w:pPr>
    </w:p>
    <w:p w14:paraId="4372CB22" w14:textId="77777777" w:rsidR="00241EB3" w:rsidRPr="00FF34CD" w:rsidRDefault="00241EB3" w:rsidP="00397B39">
      <w:pPr>
        <w:pStyle w:val="4organisme"/>
        <w:rPr>
          <w:rFonts w:cstheme="minorHAnsi"/>
          <w:lang w:val="en-US"/>
        </w:rPr>
      </w:pPr>
    </w:p>
    <w:p w14:paraId="65F3C4C3" w14:textId="1FB404E6" w:rsidR="00C31BFD" w:rsidRPr="002F4A0A" w:rsidRDefault="002F4A0A" w:rsidP="009D500F">
      <w:pPr>
        <w:pStyle w:val="Titre"/>
        <w:rPr>
          <w:lang w:val="en-GB"/>
        </w:rPr>
      </w:pPr>
      <w:r w:rsidRPr="002F4A0A">
        <w:rPr>
          <w:lang w:val="en-GB"/>
        </w:rPr>
        <w:t>Short presentation in French</w:t>
      </w:r>
    </w:p>
    <w:p w14:paraId="3B9CF6C4" w14:textId="4778CBFC" w:rsidR="00C31BFD" w:rsidRPr="00921347" w:rsidRDefault="00241EB3" w:rsidP="005667E5">
      <w:pPr>
        <w:rPr>
          <w:rFonts w:cstheme="minorHAnsi"/>
        </w:rPr>
      </w:pPr>
      <w:r w:rsidRPr="00241EB3">
        <w:rPr>
          <w:rFonts w:cstheme="minorHAnsi"/>
        </w:rPr>
        <w:t>InSchuKa4.0 montre comment la ville de Iéna, avec les opérateurs, les partenaires de planification et l'industrie, rend son infrastructure d’assainissement plus résistante au climat. Au lieu de construire de nouvelles structures en béton, le réseau d'égouts existant est modernisé avec des éléments supplémentaires (déversoirs et vannes de rinçage modifiés) et réorganisé dans son fonctionnement. Cela repose sur un système de contrôle avec un module d'IA explicable (raisonnement basé sur des cas) qui s'appuie sur l'expérience du personnel d'exploitation et a été développé en étroite collaboration avec lui. L'IA donne des recommandations que le personnel peut comprendre et adapter – elle aide à prendre des décisions plutôt que de les remplacer. La modélisation hydrodynamique, les prévisions de précipitations à court terme, les capteurs innovants et les connaissances d’exploitation sont regroupés dans une base de données et de connaissances commune. Cela permet d'activer des volumes de stockage inutilisés pour mieux faire face aux fortes précipitations, de réduire les pics d'afflux vers la station d'épuration et de déclencher des vagues de rinçage pour réduire les dépôts, surtout pendant les périodes de sécheresse. Le stockage supplémentaire réduit considérablement, voire évite, les débordements des égouts unitaires, augmente la fiabilité du réseau d'égouts et de la station d'épuration en aval et évite de nouvelles constructions pour augmenter la capacité de stockage. InSchuKa4.0 combine ainsi l'adaptation au climat, la protection de l'eau et l'efficacité économique dans une approche de contrôle transférable à l'échelle de la ville.</w:t>
      </w:r>
    </w:p>
    <w:p w14:paraId="4AD99FDB" w14:textId="77777777" w:rsidR="00241EB3" w:rsidRPr="00921347" w:rsidRDefault="00241EB3" w:rsidP="005667E5">
      <w:pPr>
        <w:rPr>
          <w:rFonts w:cstheme="minorHAnsi"/>
        </w:rPr>
      </w:pPr>
    </w:p>
    <w:p w14:paraId="0FB38044" w14:textId="592FFDA2" w:rsidR="00C31BFD" w:rsidRPr="00FF34CD" w:rsidRDefault="00F3593E" w:rsidP="009D500F">
      <w:pPr>
        <w:pStyle w:val="Titre"/>
        <w:rPr>
          <w:color w:val="00B6CF"/>
          <w:lang w:val="en-US"/>
        </w:rPr>
      </w:pPr>
      <w:r w:rsidRPr="00FF34CD">
        <w:rPr>
          <w:color w:val="00B6CF"/>
          <w:lang w:val="en-US"/>
        </w:rPr>
        <w:t>Short presentation</w:t>
      </w:r>
      <w:r w:rsidR="002F4A0A" w:rsidRPr="00FF34CD">
        <w:rPr>
          <w:color w:val="00B6CF"/>
          <w:lang w:val="en-US"/>
        </w:rPr>
        <w:t xml:space="preserve"> in English</w:t>
      </w:r>
    </w:p>
    <w:p w14:paraId="34F084C0" w14:textId="1DF51D66" w:rsidR="00C31BFD" w:rsidRPr="0096391A" w:rsidRDefault="0096391A" w:rsidP="00AA1C3A">
      <w:pPr>
        <w:spacing w:before="0"/>
        <w:rPr>
          <w:rFonts w:cstheme="minorHAnsi"/>
          <w:lang w:val="en-US"/>
        </w:rPr>
      </w:pPr>
      <w:r w:rsidRPr="00921347">
        <w:rPr>
          <w:rFonts w:cstheme="minorHAnsi"/>
          <w:lang w:val="en-GB"/>
        </w:rPr>
        <w:t xml:space="preserve">InSchuKa4.0 shows how the city of Jena, together with operators, planning partners and industry, is making its drainage infrastructure more </w:t>
      </w:r>
      <w:proofErr w:type="gramStart"/>
      <w:r w:rsidRPr="00921347">
        <w:rPr>
          <w:rFonts w:cstheme="minorHAnsi"/>
          <w:lang w:val="en-GB"/>
        </w:rPr>
        <w:t>climate-resilient</w:t>
      </w:r>
      <w:proofErr w:type="gramEnd"/>
      <w:r w:rsidRPr="00921347">
        <w:rPr>
          <w:rFonts w:cstheme="minorHAnsi"/>
          <w:lang w:val="en-GB"/>
        </w:rPr>
        <w:t>. Instead of constructing new concrete structures, the existing sewer system is being retrofitted with additional structural elements (modified weirs and flushing gates) and reorganised in terms of operation. The basis for this is a control system with an explainable AI module (case-based reasoning) that builds on the experience of the operating staff and was developed in close cooperation with them. The AI provides comprehensible recommendations that can be understood, reviewed and adapted by employees – it supports decisions rather than replacing them. Hydrodynamic modelling, short-term rainfall forecasts, innovative sensors and operational knowledge are brought together in a shared data and knowledge base. This makes it possible to activate previously unused storage volumes to better cope with heavy rainfall events, to throttle inflow peaks to the sewage treatment plant and to trigger flushing waves to reduce deposits, especially during longer dry periods. The additional storage significantly reduces or even avoids combined sewer overflows, increases the operational reliability of the sewer network and the downstream treatment plant and avoids costly new construction for additional storage capacity. InSchuKa4.0 thus combines climate adaptation, water protection and economic efficiency in a transferable, city-wide control approach.</w:t>
      </w:r>
    </w:p>
    <w:p w14:paraId="3BCB750E" w14:textId="77777777" w:rsidR="00AA1C3A" w:rsidRPr="00921347" w:rsidRDefault="00AA1C3A" w:rsidP="00AA1C3A">
      <w:pPr>
        <w:spacing w:before="0"/>
        <w:rPr>
          <w:rFonts w:cstheme="minorHAnsi"/>
          <w:lang w:val="en-GB"/>
        </w:rPr>
      </w:pPr>
    </w:p>
    <w:p w14:paraId="1A5941E0" w14:textId="46237D6D" w:rsidR="00F3593E" w:rsidRPr="002F4A0A" w:rsidRDefault="002F4A0A" w:rsidP="00071574">
      <w:pPr>
        <w:pStyle w:val="Titre"/>
        <w:spacing w:before="100"/>
        <w:rPr>
          <w:lang w:val="en-GB"/>
        </w:rPr>
      </w:pPr>
      <w:r w:rsidRPr="002F4A0A">
        <w:rPr>
          <w:lang w:val="en-GB"/>
        </w:rPr>
        <w:t>Ge</w:t>
      </w:r>
      <w:r w:rsidR="00F3593E" w:rsidRPr="002F4A0A">
        <w:rPr>
          <w:lang w:val="en-GB"/>
        </w:rPr>
        <w:t>n</w:t>
      </w:r>
      <w:r w:rsidRPr="002F4A0A">
        <w:rPr>
          <w:lang w:val="en-GB"/>
        </w:rPr>
        <w:t>e</w:t>
      </w:r>
      <w:r w:rsidR="00F3593E" w:rsidRPr="002F4A0A">
        <w:rPr>
          <w:lang w:val="en-GB"/>
        </w:rPr>
        <w:t>ral</w:t>
      </w:r>
      <w:r w:rsidRPr="002F4A0A">
        <w:rPr>
          <w:lang w:val="en-GB"/>
        </w:rPr>
        <w:t xml:space="preserve"> presentation of the o</w:t>
      </w:r>
      <w:r>
        <w:rPr>
          <w:lang w:val="en-GB"/>
        </w:rPr>
        <w:t>peration/strategy</w:t>
      </w:r>
    </w:p>
    <w:p w14:paraId="40FB3C4C" w14:textId="77777777" w:rsidR="006F2FCD" w:rsidRPr="006F2FCD" w:rsidRDefault="006F2FCD" w:rsidP="00071574">
      <w:pPr>
        <w:numPr>
          <w:ilvl w:val="0"/>
          <w:numId w:val="1"/>
        </w:numPr>
        <w:tabs>
          <w:tab w:val="clear" w:pos="432"/>
        </w:tabs>
        <w:spacing w:before="100"/>
        <w:rPr>
          <w:rFonts w:cstheme="minorHAnsi"/>
          <w:b/>
          <w:bCs/>
          <w:caps/>
          <w:color w:val="00708E"/>
          <w:sz w:val="24"/>
          <w:lang w:val="en-US"/>
        </w:rPr>
      </w:pPr>
      <w:r w:rsidRPr="006F2FCD">
        <w:rPr>
          <w:rFonts w:cstheme="minorHAnsi"/>
          <w:b/>
          <w:bCs/>
          <w:caps/>
          <w:color w:val="00708E"/>
          <w:sz w:val="24"/>
          <w:lang w:val="en-US"/>
        </w:rPr>
        <w:t>Climate and urban context: Why Jena had to rethink its drainage system</w:t>
      </w:r>
    </w:p>
    <w:p w14:paraId="78BC3682" w14:textId="77777777" w:rsidR="00071574" w:rsidRPr="00071574" w:rsidRDefault="00071574" w:rsidP="00071574">
      <w:pPr>
        <w:spacing w:before="100"/>
        <w:rPr>
          <w:lang w:val="en-US"/>
        </w:rPr>
      </w:pPr>
      <w:r w:rsidRPr="00071574">
        <w:rPr>
          <w:lang w:val="en-US"/>
        </w:rPr>
        <w:t xml:space="preserve"> In many European cities, climate change is now clearly felt in everyday life: long dry spells alternate with short, very intense rainfall events. Drainage systems that were designed for relatively steady loads now </w:t>
      </w:r>
      <w:proofErr w:type="gramStart"/>
      <w:r w:rsidRPr="00071574">
        <w:rPr>
          <w:lang w:val="en-US"/>
        </w:rPr>
        <w:t>have to</w:t>
      </w:r>
      <w:proofErr w:type="gramEnd"/>
      <w:r w:rsidRPr="00071574">
        <w:rPr>
          <w:lang w:val="en-US"/>
        </w:rPr>
        <w:t xml:space="preserve"> cope with much greater fluctuations. This is particularly evident in Jena. The city lies in a narrow Saale valley, with residential areas stretching along the river, and beneath this urban fabric runs a sewer network that has grown over decades and still reflects older planning assumptions. An overview map of the pilot area with the Saale, the main collector and key relief structures (Fig. 1 in the appendix) shows how closely urban space and watercourse are interwoven and how short the paths are from roof or street to the river.</w:t>
      </w:r>
    </w:p>
    <w:p w14:paraId="678411A2" w14:textId="77777777" w:rsidR="00071574" w:rsidRPr="00071574" w:rsidRDefault="00071574" w:rsidP="00071574">
      <w:pPr>
        <w:spacing w:before="100"/>
        <w:rPr>
          <w:lang w:val="en-US"/>
        </w:rPr>
      </w:pPr>
      <w:r w:rsidRPr="00071574">
        <w:rPr>
          <w:lang w:val="en-US"/>
        </w:rPr>
        <w:t xml:space="preserve">When heavy rain falls on Jena, the </w:t>
      </w:r>
      <w:proofErr w:type="gramStart"/>
      <w:r w:rsidRPr="00071574">
        <w:rPr>
          <w:lang w:val="en-US"/>
        </w:rPr>
        <w:t>large combined</w:t>
      </w:r>
      <w:proofErr w:type="gramEnd"/>
      <w:r w:rsidRPr="00071574">
        <w:rPr>
          <w:lang w:val="en-US"/>
        </w:rPr>
        <w:t xml:space="preserve"> sewers and special structures fill up quickly. The Saale is both an ecologically sensitive receiving water and the ‘safety valve’ of the drainage system: to protect the city from flooding, discharges must be allowed at certain points, with corresponding impacts on the river. During dry periods, the opposite occurs – low flows lead to deposits, </w:t>
      </w:r>
      <w:proofErr w:type="spellStart"/>
      <w:r w:rsidRPr="00071574">
        <w:rPr>
          <w:lang w:val="en-US"/>
        </w:rPr>
        <w:t>odours</w:t>
      </w:r>
      <w:proofErr w:type="spellEnd"/>
      <w:r w:rsidRPr="00071574">
        <w:rPr>
          <w:lang w:val="en-US"/>
        </w:rPr>
        <w:t xml:space="preserve"> and increased corrosion risk. This contrast between heavy rainfall and drought shows the limits of a purely static system. Jena therefore decided not simply to build more structures, but to change the way the existing infrastructure is operated so that it is better adapted to the new climatic conditions.</w:t>
      </w:r>
    </w:p>
    <w:p w14:paraId="1B984E3C" w14:textId="4DC5B106" w:rsidR="00BA04A7" w:rsidRPr="00921347" w:rsidRDefault="002E615A" w:rsidP="00071574">
      <w:pPr>
        <w:pStyle w:val="Titre2"/>
        <w:spacing w:before="100"/>
        <w:rPr>
          <w:lang w:val="en-GB"/>
        </w:rPr>
      </w:pPr>
      <w:r w:rsidRPr="00921347">
        <w:rPr>
          <w:lang w:val="en-GB"/>
        </w:rPr>
        <w:t>Initial situation in the city's drainage system</w:t>
      </w:r>
    </w:p>
    <w:p w14:paraId="0EDED50D" w14:textId="77777777" w:rsidR="002E615A" w:rsidRPr="002E615A" w:rsidRDefault="002E615A" w:rsidP="00071574">
      <w:pPr>
        <w:spacing w:before="100"/>
        <w:rPr>
          <w:lang w:val="en-US"/>
        </w:rPr>
      </w:pPr>
      <w:r w:rsidRPr="002E615A">
        <w:rPr>
          <w:lang w:val="en-US"/>
        </w:rPr>
        <w:t xml:space="preserve">The drainage system in Jena is typical of many Central European cities, but at the same time it is particularly sensitive due to its location in a valley. In the historic city </w:t>
      </w:r>
      <w:proofErr w:type="spellStart"/>
      <w:r w:rsidRPr="002E615A">
        <w:rPr>
          <w:lang w:val="en-US"/>
        </w:rPr>
        <w:t>centre</w:t>
      </w:r>
      <w:proofErr w:type="spellEnd"/>
      <w:r w:rsidRPr="002E615A">
        <w:rPr>
          <w:lang w:val="en-US"/>
        </w:rPr>
        <w:t xml:space="preserve">, wastewater is collected in a combined sewer system and discharged to the sewage treatment plant. Rainwater from roofs and streets flows through the same channels as domestic and commercial wastewater. In newer suburban and development areas, however, separate systems have been installed in most cases, which discharge rainwater and wastewater separately. Along the Saale, the mixed water flows converge in a large main collector, which is supplemented by several special structures. These structures serve as storage spaces on the one hand and as relief points into the river on the other when large amounts of water </w:t>
      </w:r>
      <w:proofErr w:type="gramStart"/>
      <w:r w:rsidRPr="002E615A">
        <w:rPr>
          <w:lang w:val="en-US"/>
        </w:rPr>
        <w:t>have to</w:t>
      </w:r>
      <w:proofErr w:type="gramEnd"/>
      <w:r w:rsidRPr="002E615A">
        <w:rPr>
          <w:lang w:val="en-US"/>
        </w:rPr>
        <w:t xml:space="preserve"> be discharged in a short time. A large rainwater overflow basin near the sewage treatment plant is one of the most important junctions in the system.</w:t>
      </w:r>
    </w:p>
    <w:p w14:paraId="15A0087A" w14:textId="77777777" w:rsidR="002E615A" w:rsidRPr="002E615A" w:rsidRDefault="002E615A" w:rsidP="00071574">
      <w:pPr>
        <w:spacing w:before="100"/>
        <w:rPr>
          <w:lang w:val="en-US"/>
        </w:rPr>
      </w:pPr>
      <w:r w:rsidRPr="002E615A">
        <w:rPr>
          <w:lang w:val="en-US"/>
        </w:rPr>
        <w:t xml:space="preserve">Before the InSchuKa4.0 research project started, it became apparent that the usable storage volumes were often quickly exhausted during heavy rainfall events, mixed water had to be discharged into the Saale more frequently, and the sewage treatment plant occasionally reached its hydraulic capacity limits. During longer dry periods, on the other hand, pronounced deposits formed, leading to </w:t>
      </w:r>
      <w:proofErr w:type="spellStart"/>
      <w:r w:rsidRPr="002E615A">
        <w:rPr>
          <w:lang w:val="en-US"/>
        </w:rPr>
        <w:t>odours</w:t>
      </w:r>
      <w:proofErr w:type="spellEnd"/>
      <w:r w:rsidRPr="002E615A">
        <w:rPr>
          <w:lang w:val="en-US"/>
        </w:rPr>
        <w:t>, additional cleaning costs and damage to materials. The central question was therefore not only how individual bottlenecks could be alleviated, but how the entire operation could be further developed so that the network could better cope with the conflicting requirements – without having to rebuild everything. At the same time, the sewage treatment plant at the end of the canal should also benefit from the new technology and be better able to cope with fluctuations.</w:t>
      </w:r>
    </w:p>
    <w:p w14:paraId="7933110C" w14:textId="50587E8B" w:rsidR="00BA04A7" w:rsidRPr="00921347" w:rsidRDefault="002E615A" w:rsidP="00071574">
      <w:pPr>
        <w:pStyle w:val="Titre2"/>
        <w:spacing w:before="100"/>
        <w:rPr>
          <w:lang w:val="en-GB"/>
        </w:rPr>
      </w:pPr>
      <w:r w:rsidRPr="002E615A">
        <w:rPr>
          <w:rFonts w:cs="Times New Roman"/>
          <w:b w:val="0"/>
          <w:bCs w:val="0"/>
          <w:color w:val="auto"/>
          <w:sz w:val="20"/>
          <w:szCs w:val="24"/>
          <w:lang w:val="en-US"/>
        </w:rPr>
        <w:t xml:space="preserve"> </w:t>
      </w:r>
      <w:r w:rsidR="005833C4" w:rsidRPr="00921347">
        <w:rPr>
          <w:lang w:val="en-GB"/>
        </w:rPr>
        <w:t>Challenges posed by extreme weather and new requirements</w:t>
      </w:r>
    </w:p>
    <w:p w14:paraId="7A678A4A" w14:textId="58B59965" w:rsidR="005833C4" w:rsidRPr="005833C4" w:rsidRDefault="005833C4" w:rsidP="00071574">
      <w:pPr>
        <w:spacing w:before="100"/>
        <w:rPr>
          <w:lang w:val="en-US"/>
        </w:rPr>
      </w:pPr>
      <w:r w:rsidRPr="005833C4">
        <w:rPr>
          <w:lang w:val="en-US"/>
        </w:rPr>
        <w:t>In addition to this technical situation, changing precipitation patterns and stricter technical and legal requirements have emerged in recent years. Evaluations conducted as part of InSchuKa4.0 showed that actual rainfall events vary significantly in terms of duration and intensity, resulting in correspondingly different mixed water discharges in the network. A comparison of various three- and seven-day events with the simulated discharge volumes (Table 1 in the appendix) shows that even moderate but prolonged events can lead to considerable discharge volumes, while in the case of very intense rainfall series, individual events can push the system to the limits of its capacity.</w:t>
      </w:r>
    </w:p>
    <w:p w14:paraId="18189D84" w14:textId="713132A3" w:rsidR="0083292F" w:rsidRPr="005833C4" w:rsidRDefault="005833C4" w:rsidP="00071574">
      <w:pPr>
        <w:spacing w:before="100"/>
        <w:rPr>
          <w:lang w:val="en-US"/>
        </w:rPr>
      </w:pPr>
      <w:r w:rsidRPr="005833C4">
        <w:rPr>
          <w:lang w:val="en-US"/>
        </w:rPr>
        <w:t>At the same time, technical regulations and European guidelines have steered the handling of rainwater and mixed water in a new direction: mixed water discharges are to be reduced as far as possible, the protection of water bodies is gaining in importance, and at the same time, drainage safety in the city must be guaranteed. For a municipality such as Jena, which has limited space, budgets and human resources, it is hardly realistic to meet these requirements exclusively through additional new construction. What was needed was an approach that would make the existing infrastructure more flexible and enable very different load situations to be handled with the same structures.</w:t>
      </w:r>
    </w:p>
    <w:p w14:paraId="2A61FE3D" w14:textId="72AEA0DC" w:rsidR="00BA04A7" w:rsidRPr="00BA04A7" w:rsidRDefault="00BA04A7" w:rsidP="00071574">
      <w:pPr>
        <w:pStyle w:val="Titre2"/>
        <w:spacing w:before="100"/>
      </w:pPr>
      <w:proofErr w:type="spellStart"/>
      <w:r w:rsidRPr="00BA04A7">
        <w:lastRenderedPageBreak/>
        <w:t>Ziele</w:t>
      </w:r>
      <w:proofErr w:type="spellEnd"/>
      <w:r w:rsidRPr="00BA04A7">
        <w:t xml:space="preserve"> der </w:t>
      </w:r>
      <w:proofErr w:type="spellStart"/>
      <w:r w:rsidRPr="00BA04A7">
        <w:t>Operation</w:t>
      </w:r>
      <w:proofErr w:type="spellEnd"/>
      <w:r w:rsidRPr="00BA04A7">
        <w:t xml:space="preserve"> / Strategie InSchuKa4.0</w:t>
      </w:r>
    </w:p>
    <w:p w14:paraId="156DF985" w14:textId="77777777" w:rsidR="005833C4" w:rsidRPr="005833C4" w:rsidRDefault="005833C4" w:rsidP="00071574">
      <w:pPr>
        <w:spacing w:before="100"/>
        <w:rPr>
          <w:lang w:val="en-US"/>
        </w:rPr>
      </w:pPr>
      <w:r w:rsidRPr="00FF34CD">
        <w:rPr>
          <w:lang w:val="de-DE"/>
        </w:rPr>
        <w:t xml:space="preserve"> </w:t>
      </w:r>
      <w:r w:rsidRPr="005833C4">
        <w:rPr>
          <w:lang w:val="en-US"/>
        </w:rPr>
        <w:t xml:space="preserve">Against this backdrop, the objectives of InSchuKa4.0 were deliberately formulated more broadly than in a classic technical renovation measure. The focus was on further developing the existing drainage infrastructure to make it more resistant to extreme weather events and, at the same time, make a noticeable contribution to improving the ecological condition of the Saale river – through targeted retrofitting of existing infrastructure rather than expensive new construction to increase the necessary storage volume. Specifically, previously unusable storage volume in the sewer network was to be activated </w:t>
      </w:r>
      <w:proofErr w:type="gramStart"/>
      <w:r w:rsidRPr="005833C4">
        <w:rPr>
          <w:lang w:val="en-US"/>
        </w:rPr>
        <w:t>in order to</w:t>
      </w:r>
      <w:proofErr w:type="gramEnd"/>
      <w:r w:rsidRPr="005833C4">
        <w:rPr>
          <w:lang w:val="en-US"/>
        </w:rPr>
        <w:t xml:space="preserve"> significantly reduce mixed water discharges, flatten inflow peaks to the sewage treatment plant and reduce deposits through targeted flushing waves.</w:t>
      </w:r>
    </w:p>
    <w:p w14:paraId="0C632C8D" w14:textId="370A0FE6" w:rsidR="00BA04A7" w:rsidRPr="005833C4" w:rsidRDefault="005833C4" w:rsidP="00071574">
      <w:pPr>
        <w:spacing w:before="100"/>
        <w:rPr>
          <w:lang w:val="en-US"/>
        </w:rPr>
      </w:pPr>
      <w:r w:rsidRPr="005833C4">
        <w:rPr>
          <w:lang w:val="en-US"/>
        </w:rPr>
        <w:t>It was equally important to those involved that this new management system be closely linked to operational practice. From the outset, the goal was therefore to develop an explainable AI module based on real operating situations, hydrodynamic simulations and the experience and knowledge of the staff. The control system was to provide recommendations for action that could be understood, reviewed and, if necessary, adapted by the employees – an adaptive system that supports human decisions rather than replacing them. InSchuKa4.0 thus sees itself as an integrated operation: as an infrastructure retrofit with new mechanical and electrical installations, as a contribution to climate adaptation and water protection, and as a joint learning project involving local authorities, operators, universities and industry.</w:t>
      </w:r>
    </w:p>
    <w:p w14:paraId="53B0CE26" w14:textId="70676E06" w:rsidR="00BA04A7" w:rsidRPr="0034523C" w:rsidRDefault="0034523C" w:rsidP="00071574">
      <w:pPr>
        <w:pStyle w:val="Titre1"/>
        <w:spacing w:before="100"/>
        <w:rPr>
          <w:lang w:val="en-US"/>
        </w:rPr>
      </w:pPr>
      <w:r w:rsidRPr="00921347">
        <w:rPr>
          <w:lang w:val="en-GB"/>
        </w:rPr>
        <w:t>Integrated infrastructure retrofitting: from concept to solution in existing buildings</w:t>
      </w:r>
    </w:p>
    <w:p w14:paraId="64B791FB" w14:textId="11197BF9" w:rsidR="00693E32" w:rsidRPr="0034523C" w:rsidRDefault="0034523C" w:rsidP="00071574">
      <w:pPr>
        <w:spacing w:before="100"/>
        <w:rPr>
          <w:lang w:val="en-US"/>
        </w:rPr>
      </w:pPr>
      <w:r w:rsidRPr="0034523C">
        <w:rPr>
          <w:lang w:val="en-US"/>
        </w:rPr>
        <w:t xml:space="preserve">InSchuKa4.0 combines specifically retrofitted structural elements in the main collector with a control concept based on explainable AI and supported by an expanded measurement and modelling basis. Two modified dam and flushing gates have been installed at hydrodynamically and structurally suitable locations in the main collector and form the ‘active hands’ of the new management system; the AI module and the control system provide the appropriate ‘head </w:t>
      </w:r>
      <w:proofErr w:type="gramStart"/>
      <w:r w:rsidRPr="0034523C">
        <w:rPr>
          <w:lang w:val="en-US"/>
        </w:rPr>
        <w:t>decisions’</w:t>
      </w:r>
      <w:proofErr w:type="gramEnd"/>
      <w:r w:rsidRPr="0034523C">
        <w:rPr>
          <w:lang w:val="en-US"/>
        </w:rPr>
        <w:t xml:space="preserve">. </w:t>
      </w:r>
    </w:p>
    <w:p w14:paraId="40E17919" w14:textId="305E0EC2" w:rsidR="00BA04A7" w:rsidRPr="00BA04A7" w:rsidRDefault="00BA04A7" w:rsidP="00071574">
      <w:pPr>
        <w:pStyle w:val="Titre2"/>
        <w:spacing w:before="100"/>
      </w:pPr>
      <w:proofErr w:type="spellStart"/>
      <w:r w:rsidRPr="00BA04A7">
        <w:t>Technisches</w:t>
      </w:r>
      <w:proofErr w:type="spellEnd"/>
      <w:r w:rsidRPr="00BA04A7">
        <w:t xml:space="preserve"> </w:t>
      </w:r>
      <w:proofErr w:type="spellStart"/>
      <w:proofErr w:type="gramStart"/>
      <w:r w:rsidRPr="00BA04A7">
        <w:t>Konzept</w:t>
      </w:r>
      <w:proofErr w:type="spellEnd"/>
      <w:r w:rsidRPr="00BA04A7">
        <w:t>:</w:t>
      </w:r>
      <w:proofErr w:type="gramEnd"/>
      <w:r w:rsidRPr="00BA04A7">
        <w:t xml:space="preserve"> </w:t>
      </w:r>
      <w:proofErr w:type="spellStart"/>
      <w:r w:rsidRPr="00BA04A7">
        <w:t>neue</w:t>
      </w:r>
      <w:proofErr w:type="spellEnd"/>
      <w:r w:rsidRPr="00BA04A7">
        <w:t xml:space="preserve"> </w:t>
      </w:r>
      <w:proofErr w:type="spellStart"/>
      <w:r w:rsidRPr="00BA04A7">
        <w:t>strukturelle</w:t>
      </w:r>
      <w:proofErr w:type="spellEnd"/>
      <w:r w:rsidRPr="00BA04A7">
        <w:t xml:space="preserve"> Elemente im vorhandenen Netz</w:t>
      </w:r>
    </w:p>
    <w:p w14:paraId="0F85526D" w14:textId="16C3A61F" w:rsidR="00C92CB8" w:rsidRPr="00071574" w:rsidRDefault="00C92CB8" w:rsidP="00071574">
      <w:pPr>
        <w:spacing w:before="100"/>
        <w:rPr>
          <w:lang w:val="en-US"/>
        </w:rPr>
      </w:pPr>
      <w:r w:rsidRPr="00C92CB8">
        <w:rPr>
          <w:lang w:val="en-US"/>
        </w:rPr>
        <w:t>The modified backwater and flushing gates can dam up the wastewater, throttle the inflow to the sewage treatment plant and be used as a flushing device after an incident. Fig</w:t>
      </w:r>
      <w:r w:rsidR="00FF34CD">
        <w:rPr>
          <w:lang w:val="en-US"/>
        </w:rPr>
        <w:t>.</w:t>
      </w:r>
      <w:r w:rsidRPr="00C92CB8">
        <w:rPr>
          <w:lang w:val="en-US"/>
        </w:rPr>
        <w:t xml:space="preserve"> 2</w:t>
      </w:r>
      <w:r w:rsidR="006F3DFC" w:rsidRPr="006F3DFC">
        <w:rPr>
          <w:lang w:val="en-US"/>
        </w:rPr>
        <w:t xml:space="preserve"> </w:t>
      </w:r>
      <w:r w:rsidR="006F3DFC" w:rsidRPr="00C92CB8">
        <w:rPr>
          <w:lang w:val="en-US"/>
        </w:rPr>
        <w:t>in the appendix</w:t>
      </w:r>
      <w:r w:rsidRPr="00C92CB8">
        <w:rPr>
          <w:lang w:val="en-US"/>
        </w:rPr>
        <w:t xml:space="preserve"> shows one of the installed gates in the closed position: The gate dams up the wastewater in the upstream section, while a limited amount is fed through </w:t>
      </w:r>
      <w:proofErr w:type="spellStart"/>
      <w:proofErr w:type="gramStart"/>
      <w:r w:rsidRPr="00C92CB8">
        <w:rPr>
          <w:lang w:val="en-US"/>
        </w:rPr>
        <w:t>a</w:t>
      </w:r>
      <w:proofErr w:type="spellEnd"/>
      <w:proofErr w:type="gramEnd"/>
      <w:r w:rsidRPr="00C92CB8">
        <w:rPr>
          <w:lang w:val="en-US"/>
        </w:rPr>
        <w:t xml:space="preserve"> adjustable opening in a controlled manner to </w:t>
      </w:r>
      <w:proofErr w:type="gramStart"/>
      <w:r w:rsidRPr="00C92CB8">
        <w:rPr>
          <w:lang w:val="en-US"/>
        </w:rPr>
        <w:t>ensure dry weather discharge at all times</w:t>
      </w:r>
      <w:proofErr w:type="gramEnd"/>
      <w:r w:rsidRPr="00C92CB8">
        <w:rPr>
          <w:lang w:val="en-US"/>
        </w:rPr>
        <w:t xml:space="preserve">. When open, the retained water is discharged at increased speed, triggering a flushing wave that </w:t>
      </w:r>
      <w:proofErr w:type="spellStart"/>
      <w:r w:rsidRPr="00C92CB8">
        <w:rPr>
          <w:lang w:val="en-US"/>
        </w:rPr>
        <w:t>mobilises</w:t>
      </w:r>
      <w:proofErr w:type="spellEnd"/>
      <w:r w:rsidRPr="00C92CB8">
        <w:rPr>
          <w:lang w:val="en-US"/>
        </w:rPr>
        <w:t xml:space="preserve"> deposits on the sewer bed and transports them to the sewage treatment plant.</w:t>
      </w:r>
      <w:r w:rsidR="00071574" w:rsidRPr="00071574">
        <w:rPr>
          <w:lang w:val="en-US"/>
        </w:rPr>
        <w:t xml:space="preserve"> </w:t>
      </w:r>
    </w:p>
    <w:p w14:paraId="09C5880D" w14:textId="2AB126FE" w:rsidR="00A87E31" w:rsidRPr="00C92CB8" w:rsidRDefault="00C92CB8" w:rsidP="00071574">
      <w:pPr>
        <w:spacing w:before="100"/>
        <w:rPr>
          <w:lang w:val="en-US"/>
        </w:rPr>
      </w:pPr>
      <w:r w:rsidRPr="00C92CB8">
        <w:rPr>
          <w:lang w:val="en-US"/>
        </w:rPr>
        <w:t xml:space="preserve">Hydrodynamic simulations have shown that the combination of damming and throttling can activate several thousand cubic </w:t>
      </w:r>
      <w:proofErr w:type="spellStart"/>
      <w:r w:rsidRPr="00C92CB8">
        <w:rPr>
          <w:lang w:val="en-US"/>
        </w:rPr>
        <w:t>metres</w:t>
      </w:r>
      <w:proofErr w:type="spellEnd"/>
      <w:r w:rsidRPr="00C92CB8">
        <w:rPr>
          <w:lang w:val="en-US"/>
        </w:rPr>
        <w:t xml:space="preserve"> of additional storage volume without creating impermissible backwater levels and thus flood risks. At the same time, the inflow to the sewage treatment plant can be evened out in such a way that hydraulic peaks are significantly reduced. The simulation results served as the basis for defining the control rules and were later incorporated into the AI case database as synthetic cases.</w:t>
      </w:r>
      <w:r w:rsidR="00A87E31" w:rsidRPr="00C92CB8">
        <w:rPr>
          <w:lang w:val="en-US"/>
        </w:rPr>
        <w:t xml:space="preserve"> </w:t>
      </w:r>
    </w:p>
    <w:p w14:paraId="4F2F63C8" w14:textId="637619BC" w:rsidR="00F649A2" w:rsidRPr="00921347" w:rsidRDefault="00C92CB8" w:rsidP="00071574">
      <w:pPr>
        <w:pStyle w:val="Titre2"/>
        <w:spacing w:before="100"/>
        <w:rPr>
          <w:lang w:val="en-GB"/>
        </w:rPr>
      </w:pPr>
      <w:r w:rsidRPr="00C92CB8">
        <w:rPr>
          <w:lang w:val="en-US"/>
        </w:rPr>
        <w:t xml:space="preserve">Data, modelling and forecasts as a common basis for decision-making </w:t>
      </w:r>
    </w:p>
    <w:p w14:paraId="6813CDEA" w14:textId="32AB048D" w:rsidR="00F649A2" w:rsidRPr="00C92CB8" w:rsidRDefault="00C92CB8" w:rsidP="00071574">
      <w:pPr>
        <w:spacing w:before="100"/>
        <w:rPr>
          <w:lang w:val="en-US"/>
        </w:rPr>
      </w:pPr>
      <w:r w:rsidRPr="00C92CB8">
        <w:rPr>
          <w:lang w:val="en-US"/>
        </w:rPr>
        <w:t xml:space="preserve"> The new management system is based on an expanded measurement infrastructure, hydrodynamic models and short-term precipitation forecasts. In addition to water level measurements, sensors are used to record sediment loads and deposition potential. </w:t>
      </w:r>
      <w:proofErr w:type="spellStart"/>
      <w:r w:rsidRPr="00C92CB8">
        <w:rPr>
          <w:lang w:val="en-US"/>
        </w:rPr>
        <w:t>NiRA.web</w:t>
      </w:r>
      <w:proofErr w:type="spellEnd"/>
      <w:r w:rsidRPr="00C92CB8">
        <w:rPr>
          <w:lang w:val="en-US"/>
        </w:rPr>
        <w:t xml:space="preserve">, an internet portal, provides current </w:t>
      </w:r>
      <w:proofErr w:type="gramStart"/>
      <w:r w:rsidRPr="00C92CB8">
        <w:rPr>
          <w:lang w:val="en-US"/>
        </w:rPr>
        <w:t>and forecast</w:t>
      </w:r>
      <w:proofErr w:type="gramEnd"/>
      <w:r w:rsidRPr="00C92CB8">
        <w:rPr>
          <w:lang w:val="en-US"/>
        </w:rPr>
        <w:t xml:space="preserve"> precipitation amounts and </w:t>
      </w:r>
      <w:proofErr w:type="spellStart"/>
      <w:r w:rsidRPr="00C92CB8">
        <w:rPr>
          <w:lang w:val="en-US"/>
        </w:rPr>
        <w:t>visualises</w:t>
      </w:r>
      <w:proofErr w:type="spellEnd"/>
      <w:r w:rsidRPr="00C92CB8">
        <w:rPr>
          <w:lang w:val="en-US"/>
        </w:rPr>
        <w:t xml:space="preserve"> them in a modern web-based SCADA system. Fig</w:t>
      </w:r>
      <w:r w:rsidR="00FF34CD">
        <w:rPr>
          <w:lang w:val="en-US"/>
        </w:rPr>
        <w:t>.</w:t>
      </w:r>
      <w:r w:rsidRPr="00C92CB8">
        <w:rPr>
          <w:lang w:val="en-US"/>
        </w:rPr>
        <w:t xml:space="preserve"> 3 in the appendix shows the map with the rain gauge stations and the corresponding forecast fields. Based on current operating data and available precipitation forecasts, the operating team can decide before an expected rainfall event whether filled storage tanks should be emptied or whether it would be better to postpone flushing.</w:t>
      </w:r>
    </w:p>
    <w:p w14:paraId="13138035" w14:textId="5731A463" w:rsidR="00BA04A7" w:rsidRPr="00921347" w:rsidRDefault="00C92CB8" w:rsidP="00071574">
      <w:pPr>
        <w:pStyle w:val="Titre2"/>
        <w:spacing w:before="100"/>
        <w:rPr>
          <w:lang w:val="en-GB"/>
        </w:rPr>
      </w:pPr>
      <w:r w:rsidRPr="00921347">
        <w:rPr>
          <w:lang w:val="en-GB"/>
        </w:rPr>
        <w:t>The explainable AI module at the heart of management</w:t>
      </w:r>
    </w:p>
    <w:p w14:paraId="6E395E1A" w14:textId="07AA0D13" w:rsidR="007D6FAF" w:rsidRPr="00C92CB8" w:rsidRDefault="00C92CB8" w:rsidP="00071574">
      <w:pPr>
        <w:spacing w:before="100"/>
        <w:rPr>
          <w:lang w:val="en-US"/>
        </w:rPr>
      </w:pPr>
      <w:r w:rsidRPr="00C92CB8">
        <w:rPr>
          <w:lang w:val="en-US"/>
        </w:rPr>
        <w:t>A concept based on case-based reasoning was developed to control these new possibilities. The AI module accesses a case database in which typical operating situations are documented with their respective control variables. Fig</w:t>
      </w:r>
      <w:r w:rsidR="00FF34CD">
        <w:rPr>
          <w:lang w:val="en-US"/>
        </w:rPr>
        <w:t>.</w:t>
      </w:r>
      <w:r w:rsidRPr="00C92CB8">
        <w:rPr>
          <w:lang w:val="en-US"/>
        </w:rPr>
        <w:t xml:space="preserve"> 4 </w:t>
      </w:r>
      <w:r w:rsidR="006F3DFC" w:rsidRPr="00C92CB8">
        <w:rPr>
          <w:lang w:val="en-US"/>
        </w:rPr>
        <w:t xml:space="preserve">in the appendix </w:t>
      </w:r>
      <w:r w:rsidRPr="00C92CB8">
        <w:rPr>
          <w:lang w:val="en-US"/>
        </w:rPr>
        <w:t>illustrates this principle: historical operating and simulation results as well as current measurement and weather data are fed into the CBR database; from which control recommendations are generated at regular intervals, which can be reviewed and implemented by the operating team.</w:t>
      </w:r>
      <w:r w:rsidR="000676F4" w:rsidRPr="000676F4">
        <w:rPr>
          <w:lang w:val="en-US"/>
        </w:rPr>
        <w:t xml:space="preserve"> </w:t>
      </w:r>
      <w:r w:rsidRPr="00C92CB8">
        <w:rPr>
          <w:lang w:val="en-US"/>
        </w:rPr>
        <w:t xml:space="preserve">The AI does not work as a black box, but as an explainable decision-making aid. For each recommendation, it is possible to </w:t>
      </w:r>
      <w:r w:rsidRPr="00C92CB8">
        <w:rPr>
          <w:lang w:val="en-US"/>
        </w:rPr>
        <w:lastRenderedPageBreak/>
        <w:t xml:space="preserve">display the previous cases on which it is based and the parameters that were decisive for the similarity. The operating personnel retain the decision-making authority: suggestions can be accepted, adapted or rejected. If the decisions made deviate from the suggestion and prove to be more </w:t>
      </w:r>
      <w:proofErr w:type="spellStart"/>
      <w:r w:rsidRPr="00C92CB8">
        <w:rPr>
          <w:lang w:val="en-US"/>
        </w:rPr>
        <w:t>favourable</w:t>
      </w:r>
      <w:proofErr w:type="spellEnd"/>
      <w:r w:rsidRPr="00C92CB8">
        <w:rPr>
          <w:lang w:val="en-US"/>
        </w:rPr>
        <w:t xml:space="preserve"> in retrospect, they are added to the database as new cases. This creates a control system that develops in dialogue with the people on site.</w:t>
      </w:r>
      <w:r w:rsidR="00A87E31" w:rsidRPr="00C92CB8">
        <w:rPr>
          <w:lang w:val="en-US"/>
        </w:rPr>
        <w:t xml:space="preserve"> </w:t>
      </w:r>
    </w:p>
    <w:p w14:paraId="43ED77EE" w14:textId="0E4D091B" w:rsidR="00A87E31" w:rsidRPr="00C92CB8" w:rsidRDefault="00C92CB8" w:rsidP="00071574">
      <w:pPr>
        <w:spacing w:before="100"/>
        <w:rPr>
          <w:lang w:val="en-US"/>
        </w:rPr>
      </w:pPr>
      <w:r w:rsidRPr="00C92CB8">
        <w:rPr>
          <w:lang w:val="en-US"/>
        </w:rPr>
        <w:t xml:space="preserve">From the outset, the drainage company's employees were closely involved. Typical operating situations were described in workshops, and during the test phase, the AI's suggestions were discussed together and adjusted as necessary. Many of these discussions led to new cases being added to the case database. In everyday life, AI is now perceived as an additional ‘voice’ that can think through complex relationships more quickly without replacing the experience of employees. Decisions can be better justified and presented more transparently to supervisory authorities and the public. </w:t>
      </w:r>
    </w:p>
    <w:p w14:paraId="48E76B6B" w14:textId="5C86D38D" w:rsidR="00ED7B1C" w:rsidRPr="00921347" w:rsidRDefault="00C92CB8" w:rsidP="00071574">
      <w:pPr>
        <w:pStyle w:val="Titre2"/>
        <w:spacing w:before="100"/>
        <w:rPr>
          <w:lang w:val="en-GB"/>
        </w:rPr>
      </w:pPr>
      <w:r w:rsidRPr="00921347">
        <w:rPr>
          <w:lang w:val="en-GB"/>
        </w:rPr>
        <w:t xml:space="preserve">Working with operational staff </w:t>
      </w:r>
      <w:proofErr w:type="gramStart"/>
      <w:r w:rsidRPr="00921347">
        <w:rPr>
          <w:lang w:val="en-GB"/>
        </w:rPr>
        <w:t>on a daily basis</w:t>
      </w:r>
      <w:proofErr w:type="gramEnd"/>
    </w:p>
    <w:p w14:paraId="4F2218E0" w14:textId="77777777" w:rsidR="00071574" w:rsidRPr="00071574" w:rsidRDefault="00071574" w:rsidP="00071574">
      <w:pPr>
        <w:spacing w:before="100"/>
        <w:rPr>
          <w:lang w:val="en-US"/>
        </w:rPr>
      </w:pPr>
      <w:r w:rsidRPr="00071574">
        <w:rPr>
          <w:lang w:val="en-US"/>
        </w:rPr>
        <w:t xml:space="preserve"> The </w:t>
      </w:r>
      <w:proofErr w:type="gramStart"/>
      <w:r w:rsidRPr="00071574">
        <w:rPr>
          <w:lang w:val="en-US"/>
        </w:rPr>
        <w:t>particular strength</w:t>
      </w:r>
      <w:proofErr w:type="gramEnd"/>
      <w:r w:rsidRPr="00071574">
        <w:rPr>
          <w:lang w:val="en-US"/>
        </w:rPr>
        <w:t xml:space="preserve"> of the approach developed lies not only in the technology, but above all in how closely the new management system is linked to the daily work of the operating personnel, one of the strongest success factors in water management (Müller-Czygan, 2021). From the outset, it was clear that an explainable AI module would only be accepted and used effectively if those who have been operating the facilities for many years were involved in its design. The drainage company’s staff were therefore involved early on: in workshops describing typical operating situations, in meetings on control strategies and in the test phase, where feedback from day-to-day operations flowed directly into further development.</w:t>
      </w:r>
    </w:p>
    <w:p w14:paraId="6A213B30" w14:textId="77777777" w:rsidR="00071574" w:rsidRPr="00071574" w:rsidRDefault="00071574" w:rsidP="00071574">
      <w:pPr>
        <w:spacing w:before="100"/>
        <w:rPr>
          <w:lang w:val="en-US"/>
        </w:rPr>
      </w:pPr>
      <w:r w:rsidRPr="00071574">
        <w:rPr>
          <w:lang w:val="en-US"/>
        </w:rPr>
        <w:t xml:space="preserve">This has created a kind of ‘learning partnership’ between people and the system. Employees see AI not as </w:t>
      </w:r>
      <w:proofErr w:type="gramStart"/>
      <w:r w:rsidRPr="00071574">
        <w:rPr>
          <w:lang w:val="en-US"/>
        </w:rPr>
        <w:t>competition</w:t>
      </w:r>
      <w:proofErr w:type="gramEnd"/>
      <w:r w:rsidRPr="00071574">
        <w:rPr>
          <w:lang w:val="en-US"/>
        </w:rPr>
        <w:t>, but as an additional tool that can think through complex relationships more quickly while still relying on their experience. At the same time, the visual presentation of information makes it easier to maintain an overview. The new control system is therefore perceived not only as a technical advance, but also as a relief in everyday work: decisions can be better justified and understood in retrospect, and the retrofit contributes to a more intelligently controlled infrastructure in which digital support and human experience interact naturally.</w:t>
      </w:r>
    </w:p>
    <w:p w14:paraId="544391B4" w14:textId="6D2D558D" w:rsidR="00BA04A7" w:rsidRPr="00C92CB8" w:rsidRDefault="00C92CB8" w:rsidP="00071574">
      <w:pPr>
        <w:pStyle w:val="Titre1"/>
        <w:spacing w:before="100"/>
        <w:rPr>
          <w:lang w:val="en-US"/>
        </w:rPr>
      </w:pPr>
      <w:r w:rsidRPr="00921347">
        <w:rPr>
          <w:lang w:val="en-GB"/>
        </w:rPr>
        <w:t>Results, impact and significance of InSchuKa4.0</w:t>
      </w:r>
    </w:p>
    <w:p w14:paraId="60C11E0A" w14:textId="0193459E" w:rsidR="00071574" w:rsidRPr="00FF34CD" w:rsidRDefault="00C92CB8" w:rsidP="00071574">
      <w:pPr>
        <w:spacing w:before="100"/>
        <w:rPr>
          <w:lang w:val="en-US"/>
        </w:rPr>
      </w:pPr>
      <w:r w:rsidRPr="00C92CB8">
        <w:rPr>
          <w:lang w:val="en-US"/>
        </w:rPr>
        <w:t xml:space="preserve">InSchuKa4.0 has demonstrated that a historically developed urban drainage system can be further developed through targeted interventions in the existing infrastructure and explainable AI control in such a way that it becomes more robust against extreme weather events, more environmentally friendly and more economically efficient. Long-term simulations and initial operating phases have shown that the frequency and volume of combined sewer overflows in the section of the network under consideration can be significantly reduced; for individual heavy rainfall events, reductions in overflow volumes of up to fifty percent have been achieved. At the same time, the fluctuations in inflow to the sewage treatment plant can be significantly mitigated, so that hydraulic peaks can be specifically absorbed and treatment capacities can be better </w:t>
      </w:r>
      <w:proofErr w:type="spellStart"/>
      <w:r w:rsidRPr="00C92CB8">
        <w:rPr>
          <w:lang w:val="en-US"/>
        </w:rPr>
        <w:t>utilised</w:t>
      </w:r>
      <w:proofErr w:type="spellEnd"/>
      <w:r w:rsidRPr="00C92CB8">
        <w:rPr>
          <w:lang w:val="en-US"/>
        </w:rPr>
        <w:t>.</w:t>
      </w:r>
      <w:r w:rsidR="00071574" w:rsidRPr="00071574">
        <w:rPr>
          <w:lang w:val="en-US"/>
        </w:rPr>
        <w:t xml:space="preserve"> The targeted use of previously unused storage volumes leads to fewer and smaller discharges and smoother operation at the sewage treatment plant: inflow peaks are shifted in time, overloading of basins and biological stages is </w:t>
      </w:r>
      <w:proofErr w:type="gramStart"/>
      <w:r w:rsidR="00071574" w:rsidRPr="00071574">
        <w:rPr>
          <w:lang w:val="en-US"/>
        </w:rPr>
        <w:t>reduced</w:t>
      </w:r>
      <w:proofErr w:type="gramEnd"/>
      <w:r w:rsidR="00071574" w:rsidRPr="00071574">
        <w:rPr>
          <w:lang w:val="en-US"/>
        </w:rPr>
        <w:t xml:space="preserve"> and energy use better matches actual loads. Together with the AI module, the modified flushing gates allow deposits in the network to be controlled with much less manual effort, as flushing waves are triggered when they are hydraulically most effective and operationally </w:t>
      </w:r>
      <w:proofErr w:type="spellStart"/>
      <w:proofErr w:type="gramStart"/>
      <w:r w:rsidR="00071574" w:rsidRPr="00071574">
        <w:rPr>
          <w:lang w:val="en-US"/>
        </w:rPr>
        <w:t>sensible.Initial</w:t>
      </w:r>
      <w:proofErr w:type="spellEnd"/>
      <w:proofErr w:type="gramEnd"/>
      <w:r w:rsidR="00071574" w:rsidRPr="00071574">
        <w:rPr>
          <w:lang w:val="en-US"/>
        </w:rPr>
        <w:t xml:space="preserve"> evaluations of the measurement data indicate that this can significantly reduce the cleaning effort and protect the substance of the structures.</w:t>
      </w:r>
    </w:p>
    <w:p w14:paraId="5932D1EC" w14:textId="562B935C" w:rsidR="00CF6337" w:rsidRPr="00071574" w:rsidRDefault="00C92CB8" w:rsidP="00071574">
      <w:pPr>
        <w:spacing w:before="100"/>
        <w:rPr>
          <w:lang w:val="en-US"/>
        </w:rPr>
      </w:pPr>
      <w:r w:rsidRPr="00C92CB8">
        <w:rPr>
          <w:lang w:val="en-US"/>
        </w:rPr>
        <w:t>Beyond these direct operational effects, InSchuKa4.0 is particularly important for dealing with the consequences of climate change in existing cities. The approach shows that climate adaptation in the field of urban drainage does not necessarily have to involve large-scale new construction and expansion, but that improved use of existing infrastructure through intelligent technical upgrades to existing facilities is proving to be a sustainable approach. The combination of predictive precipitation data, hydrodynamic modelling and CBR-based control makes the system adaptable and capable of learning, thus providing a blueprint for other cities facing similar challenges.</w:t>
      </w:r>
      <w:r w:rsidR="00266171" w:rsidRPr="00C92CB8">
        <w:rPr>
          <w:lang w:val="en-US"/>
        </w:rPr>
        <w:t xml:space="preserve"> </w:t>
      </w:r>
      <w:r w:rsidR="00A87E31" w:rsidRPr="00C92CB8">
        <w:rPr>
          <w:lang w:val="en-US"/>
        </w:rPr>
        <w:t xml:space="preserve"> </w:t>
      </w:r>
      <w:r w:rsidR="00017A4E" w:rsidRPr="00C92CB8">
        <w:rPr>
          <w:lang w:val="en-US"/>
        </w:rPr>
        <w:t xml:space="preserve">  </w:t>
      </w:r>
    </w:p>
    <w:p w14:paraId="23B88266" w14:textId="3A994E8E" w:rsidR="00CF6337" w:rsidRPr="00736F73" w:rsidRDefault="00736F73" w:rsidP="00071574">
      <w:pPr>
        <w:pStyle w:val="Titre1"/>
        <w:numPr>
          <w:ilvl w:val="0"/>
          <w:numId w:val="0"/>
        </w:numPr>
        <w:spacing w:before="60"/>
        <w:ind w:left="432" w:hanging="432"/>
      </w:pPr>
      <w:r w:rsidRPr="00736F73">
        <w:t>Reference</w:t>
      </w:r>
    </w:p>
    <w:p w14:paraId="7F56C32B" w14:textId="5FE6163D" w:rsidR="00B80EB1" w:rsidRPr="007E7278" w:rsidRDefault="00B80EB1" w:rsidP="00011110">
      <w:pPr>
        <w:spacing w:before="60"/>
        <w:rPr>
          <w:rFonts w:ascii="Calibri" w:hAnsi="Calibri" w:cs="Calibri"/>
          <w:bCs/>
          <w:lang w:val="en-US"/>
        </w:rPr>
      </w:pPr>
      <w:r w:rsidRPr="007E7278">
        <w:rPr>
          <w:rFonts w:ascii="Calibri" w:hAnsi="Calibri" w:cs="Calibri"/>
          <w:bCs/>
          <w:lang w:val="en-US"/>
        </w:rPr>
        <w:t>Müller-Czygan, G</w:t>
      </w:r>
      <w:r>
        <w:rPr>
          <w:rFonts w:ascii="Calibri" w:hAnsi="Calibri" w:cs="Calibri"/>
          <w:bCs/>
          <w:lang w:val="en-US"/>
        </w:rPr>
        <w:t>. (2021).</w:t>
      </w:r>
      <w:r w:rsidRPr="007E7278">
        <w:rPr>
          <w:rFonts w:ascii="Calibri" w:hAnsi="Calibri" w:cs="Calibri"/>
          <w:bCs/>
          <w:lang w:val="en-US"/>
        </w:rPr>
        <w:t xml:space="preserve"> HELIP® and “Anyway Strategy” – </w:t>
      </w:r>
      <w:proofErr w:type="gramStart"/>
      <w:r w:rsidRPr="007E7278">
        <w:rPr>
          <w:rFonts w:ascii="Calibri" w:hAnsi="Calibri" w:cs="Calibri"/>
          <w:bCs/>
          <w:lang w:val="en-US"/>
        </w:rPr>
        <w:t>Two  Human</w:t>
      </w:r>
      <w:proofErr w:type="gramEnd"/>
      <w:r w:rsidRPr="007E7278">
        <w:rPr>
          <w:rFonts w:ascii="Calibri" w:hAnsi="Calibri" w:cs="Calibri"/>
          <w:bCs/>
          <w:lang w:val="en-US"/>
        </w:rPr>
        <w:t>-</w:t>
      </w:r>
      <w:proofErr w:type="spellStart"/>
      <w:r w:rsidRPr="007E7278">
        <w:rPr>
          <w:rFonts w:ascii="Calibri" w:hAnsi="Calibri" w:cs="Calibri"/>
          <w:bCs/>
          <w:lang w:val="en-US"/>
        </w:rPr>
        <w:t>Centred</w:t>
      </w:r>
      <w:proofErr w:type="spellEnd"/>
      <w:r w:rsidRPr="007E7278">
        <w:rPr>
          <w:rFonts w:ascii="Calibri" w:hAnsi="Calibri" w:cs="Calibri"/>
          <w:bCs/>
          <w:lang w:val="en-US"/>
        </w:rPr>
        <w:t xml:space="preserve"> Methods for </w:t>
      </w:r>
      <w:proofErr w:type="gramStart"/>
      <w:r w:rsidRPr="007E7278">
        <w:rPr>
          <w:rFonts w:ascii="Calibri" w:hAnsi="Calibri" w:cs="Calibri"/>
          <w:bCs/>
          <w:lang w:val="en-US"/>
        </w:rPr>
        <w:t>Successful  Digitalization</w:t>
      </w:r>
      <w:proofErr w:type="gramEnd"/>
      <w:r w:rsidRPr="007E7278">
        <w:rPr>
          <w:rFonts w:ascii="Calibri" w:hAnsi="Calibri" w:cs="Calibri"/>
          <w:bCs/>
          <w:lang w:val="en-US"/>
        </w:rPr>
        <w:t xml:space="preserve"> in the Water Industry, Annals of social science &amp; management studies, Juniper </w:t>
      </w:r>
      <w:proofErr w:type="spellStart"/>
      <w:r w:rsidRPr="007E7278">
        <w:rPr>
          <w:rFonts w:ascii="Calibri" w:hAnsi="Calibri" w:cs="Calibri"/>
          <w:bCs/>
          <w:lang w:val="en-US"/>
        </w:rPr>
        <w:t>Jounals</w:t>
      </w:r>
      <w:proofErr w:type="spellEnd"/>
      <w:r w:rsidRPr="007E7278">
        <w:rPr>
          <w:rFonts w:ascii="Calibri" w:hAnsi="Calibri" w:cs="Calibri"/>
          <w:bCs/>
          <w:lang w:val="en-US"/>
        </w:rPr>
        <w:t>, 05. 12. 2021, DOI</w:t>
      </w:r>
      <w:proofErr w:type="gramStart"/>
      <w:r w:rsidRPr="007E7278">
        <w:rPr>
          <w:rFonts w:ascii="Calibri" w:hAnsi="Calibri" w:cs="Calibri"/>
          <w:bCs/>
          <w:lang w:val="en-US"/>
        </w:rPr>
        <w:t>:  10.19080</w:t>
      </w:r>
      <w:proofErr w:type="gramEnd"/>
      <w:r w:rsidRPr="007E7278">
        <w:rPr>
          <w:rFonts w:ascii="Calibri" w:hAnsi="Calibri" w:cs="Calibri"/>
          <w:bCs/>
          <w:lang w:val="en-US"/>
        </w:rPr>
        <w:t xml:space="preserve">/ASM.2021.06.555700  </w:t>
      </w:r>
    </w:p>
    <w:p w14:paraId="54CBE321" w14:textId="166D88B6" w:rsidR="00C360D3" w:rsidRPr="00921347" w:rsidRDefault="00736F73" w:rsidP="00011110">
      <w:pPr>
        <w:spacing w:before="60"/>
        <w:rPr>
          <w:rFonts w:ascii="Calibri" w:hAnsi="Calibri" w:cs="Calibri"/>
          <w:bCs/>
          <w:lang w:val="en-GB"/>
        </w:rPr>
      </w:pPr>
      <w:r w:rsidRPr="007E7278">
        <w:rPr>
          <w:rFonts w:ascii="Calibri" w:hAnsi="Calibri" w:cs="Calibri"/>
          <w:bCs/>
          <w:lang w:val="en-US"/>
        </w:rPr>
        <w:t xml:space="preserve">Oeltze, Henning, Jose Antonio Simancas Suarez, and Jürgen Wiese. </w:t>
      </w:r>
      <w:r w:rsidRPr="00736F73">
        <w:rPr>
          <w:rFonts w:ascii="Calibri" w:hAnsi="Calibri" w:cs="Calibri"/>
          <w:bCs/>
          <w:lang w:val="de-DE"/>
        </w:rPr>
        <w:t xml:space="preserve">"Effizienter Kanalbetrieb mit Einsatz von KI." </w:t>
      </w:r>
      <w:r w:rsidRPr="00921347">
        <w:rPr>
          <w:rFonts w:ascii="Calibri" w:hAnsi="Calibri" w:cs="Calibri"/>
          <w:bCs/>
          <w:i/>
          <w:iCs/>
          <w:lang w:val="en-GB"/>
        </w:rPr>
        <w:t>Wasser und Abfall</w:t>
      </w:r>
      <w:r w:rsidRPr="00921347">
        <w:rPr>
          <w:rFonts w:ascii="Calibri" w:hAnsi="Calibri" w:cs="Calibri"/>
          <w:bCs/>
          <w:lang w:val="en-GB"/>
        </w:rPr>
        <w:t xml:space="preserve"> 27.5 (2025): 44-48.</w:t>
      </w:r>
      <w:r w:rsidR="00C360D3" w:rsidRPr="00921347">
        <w:rPr>
          <w:rFonts w:ascii="Calibri" w:hAnsi="Calibri" w:cs="Calibri"/>
          <w:bCs/>
          <w:lang w:val="en-GB"/>
        </w:rPr>
        <w:br w:type="page"/>
      </w:r>
    </w:p>
    <w:p w14:paraId="45FC829A" w14:textId="77777777" w:rsidR="00C92CB8" w:rsidRPr="00FF34CD" w:rsidRDefault="00C92CB8" w:rsidP="00C92CB8">
      <w:pPr>
        <w:spacing w:after="120"/>
        <w:jc w:val="left"/>
        <w:rPr>
          <w:rFonts w:cstheme="minorHAnsi"/>
          <w:b/>
          <w:bCs/>
          <w:caps/>
          <w:color w:val="00708E"/>
          <w:sz w:val="24"/>
          <w:lang w:val="de-DE"/>
        </w:rPr>
      </w:pPr>
      <w:r w:rsidRPr="00921347">
        <w:rPr>
          <w:rFonts w:cstheme="minorHAnsi"/>
          <w:b/>
          <w:bCs/>
          <w:caps/>
          <w:color w:val="00708E"/>
          <w:sz w:val="24"/>
          <w:lang w:val="en-GB"/>
        </w:rPr>
        <w:lastRenderedPageBreak/>
        <w:t>APPENDIX</w:t>
      </w:r>
    </w:p>
    <w:p w14:paraId="3A7940CE" w14:textId="04016E98" w:rsidR="00C360D3" w:rsidRPr="00FF34CD" w:rsidRDefault="00C360D3" w:rsidP="00C360D3">
      <w:pPr>
        <w:spacing w:after="120"/>
        <w:jc w:val="center"/>
        <w:rPr>
          <w:lang w:val="de-DE"/>
        </w:rPr>
      </w:pPr>
      <w:r w:rsidRPr="00FF34CD">
        <w:rPr>
          <w:lang w:val="de-DE"/>
        </w:rPr>
        <w:t>a)</w:t>
      </w:r>
      <w:r w:rsidRPr="0083292F">
        <w:rPr>
          <w:noProof/>
          <w:lang w:val="de-DE"/>
        </w:rPr>
        <w:drawing>
          <wp:inline distT="0" distB="0" distL="0" distR="0" wp14:anchorId="21A6FABC" wp14:editId="1DEDB453">
            <wp:extent cx="2532922" cy="2780665"/>
            <wp:effectExtent l="0" t="0" r="1270" b="635"/>
            <wp:docPr id="871153214" name="Grafik 1" descr="Ein Bild, das Karte, Text, Atl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153214" name="Grafik 1" descr="Ein Bild, das Karte, Text, Atlas enthält.&#10;&#10;KI-generierte Inhalte können fehlerhaft sein."/>
                    <pic:cNvPicPr/>
                  </pic:nvPicPr>
                  <pic:blipFill>
                    <a:blip r:embed="rId11"/>
                    <a:stretch>
                      <a:fillRect/>
                    </a:stretch>
                  </pic:blipFill>
                  <pic:spPr>
                    <a:xfrm>
                      <a:off x="0" y="0"/>
                      <a:ext cx="2564379" cy="2815198"/>
                    </a:xfrm>
                    <a:prstGeom prst="rect">
                      <a:avLst/>
                    </a:prstGeom>
                  </pic:spPr>
                </pic:pic>
              </a:graphicData>
            </a:graphic>
          </wp:inline>
        </w:drawing>
      </w:r>
      <w:r w:rsidRPr="00FF34CD">
        <w:rPr>
          <w:lang w:val="de-DE"/>
        </w:rPr>
        <w:t xml:space="preserve">      b)</w:t>
      </w:r>
      <w:r w:rsidRPr="0083292F">
        <w:rPr>
          <w:noProof/>
          <w:lang w:val="de-DE"/>
        </w:rPr>
        <w:drawing>
          <wp:inline distT="0" distB="0" distL="0" distR="0" wp14:anchorId="432B8634" wp14:editId="77C85F9D">
            <wp:extent cx="2316404" cy="2766717"/>
            <wp:effectExtent l="0" t="0" r="8255" b="0"/>
            <wp:docPr id="64195653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56424" cy="2814517"/>
                    </a:xfrm>
                    <a:prstGeom prst="rect">
                      <a:avLst/>
                    </a:prstGeom>
                    <a:noFill/>
                    <a:ln>
                      <a:noFill/>
                    </a:ln>
                  </pic:spPr>
                </pic:pic>
              </a:graphicData>
            </a:graphic>
          </wp:inline>
        </w:drawing>
      </w:r>
    </w:p>
    <w:p w14:paraId="0A71DDA8" w14:textId="77777777" w:rsidR="00C92CB8" w:rsidRPr="00C92CB8" w:rsidRDefault="00C92CB8" w:rsidP="00C92CB8">
      <w:pPr>
        <w:spacing w:after="120"/>
        <w:jc w:val="center"/>
        <w:rPr>
          <w:i/>
          <w:iCs/>
          <w:sz w:val="18"/>
          <w:szCs w:val="22"/>
          <w:lang w:val="en-US"/>
        </w:rPr>
      </w:pPr>
      <w:r w:rsidRPr="00C92CB8">
        <w:rPr>
          <w:i/>
          <w:iCs/>
          <w:sz w:val="18"/>
          <w:szCs w:val="22"/>
          <w:lang w:val="en-US"/>
        </w:rPr>
        <w:t>Figure 1: Overview of the sewer network in the Jena pilot area with characteristic boundary conditions (a, source: opentopomap.org / City of Jena) and Map on the ecological status of water bodies/catchment areas (b, OWK assessment 2021) (source: Thuringian State Office for the Environment)</w:t>
      </w:r>
    </w:p>
    <w:p w14:paraId="3EB4D5C2" w14:textId="77777777" w:rsidR="00C360D3" w:rsidRPr="00C360D3" w:rsidRDefault="00C360D3" w:rsidP="00736F73">
      <w:pPr>
        <w:spacing w:after="120"/>
        <w:jc w:val="left"/>
        <w:rPr>
          <w:rFonts w:ascii="Calibri" w:hAnsi="Calibri" w:cs="Calibri"/>
          <w:bCs/>
          <w:lang w:val="en-US"/>
        </w:rPr>
      </w:pPr>
    </w:p>
    <w:p w14:paraId="319E8589" w14:textId="77777777" w:rsidR="00C92CB8" w:rsidRPr="00C92CB8" w:rsidRDefault="00C92CB8" w:rsidP="00C92CB8">
      <w:pPr>
        <w:jc w:val="center"/>
        <w:rPr>
          <w:rFonts w:cstheme="minorHAnsi"/>
          <w:i/>
          <w:iCs/>
          <w:sz w:val="18"/>
          <w:szCs w:val="18"/>
          <w:lang w:val="en-US"/>
        </w:rPr>
      </w:pPr>
      <w:r w:rsidRPr="00C92CB8">
        <w:rPr>
          <w:rFonts w:cstheme="minorHAnsi"/>
          <w:i/>
          <w:iCs/>
          <w:sz w:val="18"/>
          <w:szCs w:val="18"/>
          <w:lang w:val="en-US"/>
        </w:rPr>
        <w:t>Table 1: Comparison of various simulated rainfall events and the associated mixed water discharges in the Jena sewer network (according to Oeltze et al. 2025)</w:t>
      </w:r>
    </w:p>
    <w:tbl>
      <w:tblPr>
        <w:tblStyle w:val="Grilledutableau"/>
        <w:tblW w:w="5000" w:type="pct"/>
        <w:tblLook w:val="04A0" w:firstRow="1" w:lastRow="0" w:firstColumn="1" w:lastColumn="0" w:noHBand="0" w:noVBand="1"/>
      </w:tblPr>
      <w:tblGrid>
        <w:gridCol w:w="1371"/>
        <w:gridCol w:w="1423"/>
        <w:gridCol w:w="1392"/>
        <w:gridCol w:w="1653"/>
        <w:gridCol w:w="1653"/>
        <w:gridCol w:w="1570"/>
      </w:tblGrid>
      <w:tr w:rsidR="00C360D3" w:rsidRPr="00E42446" w14:paraId="6345C516" w14:textId="77777777" w:rsidTr="000B731A">
        <w:tc>
          <w:tcPr>
            <w:tcW w:w="756" w:type="pct"/>
            <w:vMerge w:val="restart"/>
            <w:vAlign w:val="center"/>
          </w:tcPr>
          <w:p w14:paraId="3E4EF8C6" w14:textId="0D942305" w:rsidR="00C360D3" w:rsidRPr="00E42446" w:rsidRDefault="00C92CB8" w:rsidP="000B731A">
            <w:pPr>
              <w:pStyle w:val="Corpsdetexte"/>
              <w:spacing w:before="31"/>
              <w:ind w:left="0"/>
              <w:jc w:val="center"/>
              <w:rPr>
                <w:rFonts w:ascii="Times New Roman" w:hAnsi="Times New Roman" w:cs="Times New Roman"/>
                <w:sz w:val="18"/>
                <w:szCs w:val="18"/>
                <w:lang w:val="ru-RU"/>
              </w:rPr>
            </w:pPr>
            <w:r>
              <w:rPr>
                <w:rFonts w:ascii="Times New Roman" w:hAnsi="Times New Roman" w:cs="Times New Roman"/>
                <w:b/>
                <w:bCs/>
                <w:sz w:val="18"/>
                <w:szCs w:val="18"/>
                <w:lang w:val="de-DE"/>
              </w:rPr>
              <w:t>Sc</w:t>
            </w:r>
            <w:r w:rsidR="00C360D3" w:rsidRPr="00E42446">
              <w:rPr>
                <w:rFonts w:ascii="Times New Roman" w:hAnsi="Times New Roman" w:cs="Times New Roman"/>
                <w:b/>
                <w:bCs/>
                <w:sz w:val="18"/>
                <w:szCs w:val="18"/>
                <w:lang w:val="de-DE"/>
              </w:rPr>
              <w:t>enario</w:t>
            </w:r>
          </w:p>
        </w:tc>
        <w:tc>
          <w:tcPr>
            <w:tcW w:w="785" w:type="pct"/>
            <w:vMerge w:val="restart"/>
            <w:vAlign w:val="center"/>
          </w:tcPr>
          <w:p w14:paraId="76AA95C0" w14:textId="77777777" w:rsidR="00C360D3" w:rsidRPr="00E42446" w:rsidRDefault="00C360D3" w:rsidP="000B731A">
            <w:pPr>
              <w:pStyle w:val="Corpsdetexte"/>
              <w:spacing w:before="31"/>
              <w:ind w:left="0"/>
              <w:jc w:val="center"/>
              <w:rPr>
                <w:rFonts w:ascii="Times New Roman" w:hAnsi="Times New Roman" w:cs="Times New Roman"/>
                <w:sz w:val="18"/>
                <w:szCs w:val="18"/>
                <w:lang w:val="ru-RU"/>
              </w:rPr>
            </w:pPr>
            <w:r w:rsidRPr="00E42446">
              <w:rPr>
                <w:rFonts w:ascii="Times New Roman" w:hAnsi="Times New Roman" w:cs="Times New Roman"/>
                <w:b/>
                <w:bCs/>
                <w:sz w:val="18"/>
                <w:szCs w:val="18"/>
                <w:lang w:val="de-DE"/>
              </w:rPr>
              <w:t>Duration [</w:t>
            </w:r>
            <w:proofErr w:type="spellStart"/>
            <w:r w:rsidRPr="00E42446">
              <w:rPr>
                <w:rFonts w:ascii="Times New Roman" w:hAnsi="Times New Roman" w:cs="Times New Roman"/>
                <w:b/>
                <w:bCs/>
                <w:sz w:val="18"/>
                <w:szCs w:val="18"/>
                <w:lang w:val="de-DE"/>
              </w:rPr>
              <w:t>days</w:t>
            </w:r>
            <w:proofErr w:type="spellEnd"/>
            <w:r w:rsidRPr="00E42446">
              <w:rPr>
                <w:rFonts w:ascii="Times New Roman" w:hAnsi="Times New Roman" w:cs="Times New Roman"/>
                <w:b/>
                <w:bCs/>
                <w:sz w:val="18"/>
                <w:szCs w:val="18"/>
                <w:lang w:val="de-DE"/>
              </w:rPr>
              <w:t>]</w:t>
            </w:r>
          </w:p>
        </w:tc>
        <w:tc>
          <w:tcPr>
            <w:tcW w:w="768" w:type="pct"/>
            <w:vMerge w:val="restart"/>
            <w:vAlign w:val="center"/>
          </w:tcPr>
          <w:p w14:paraId="093FCE14" w14:textId="77777777" w:rsidR="00C360D3" w:rsidRPr="00E42446" w:rsidRDefault="00C360D3" w:rsidP="000B731A">
            <w:pPr>
              <w:pStyle w:val="Corpsdetexte"/>
              <w:spacing w:before="31"/>
              <w:ind w:left="0"/>
              <w:jc w:val="center"/>
              <w:rPr>
                <w:rFonts w:ascii="Times New Roman" w:hAnsi="Times New Roman" w:cs="Times New Roman"/>
                <w:sz w:val="18"/>
                <w:szCs w:val="18"/>
                <w:lang w:val="ru-RU"/>
              </w:rPr>
            </w:pPr>
            <w:r w:rsidRPr="00E42446">
              <w:rPr>
                <w:rFonts w:ascii="Times New Roman" w:hAnsi="Times New Roman" w:cs="Times New Roman"/>
                <w:b/>
                <w:bCs/>
                <w:sz w:val="18"/>
                <w:szCs w:val="18"/>
                <w:lang w:val="de-DE"/>
              </w:rPr>
              <w:t xml:space="preserve">Rain </w:t>
            </w:r>
            <w:proofErr w:type="spellStart"/>
            <w:r w:rsidRPr="00E42446">
              <w:rPr>
                <w:rFonts w:ascii="Times New Roman" w:hAnsi="Times New Roman" w:cs="Times New Roman"/>
                <w:b/>
                <w:bCs/>
                <w:sz w:val="18"/>
                <w:szCs w:val="18"/>
                <w:lang w:val="de-DE"/>
              </w:rPr>
              <w:t>Intensity</w:t>
            </w:r>
            <w:proofErr w:type="spellEnd"/>
            <w:r w:rsidRPr="00E42446">
              <w:rPr>
                <w:rFonts w:ascii="Times New Roman" w:hAnsi="Times New Roman" w:cs="Times New Roman"/>
                <w:b/>
                <w:bCs/>
                <w:sz w:val="18"/>
                <w:szCs w:val="18"/>
                <w:lang w:val="de-DE"/>
              </w:rPr>
              <w:t xml:space="preserve"> [mm/d]</w:t>
            </w:r>
          </w:p>
        </w:tc>
        <w:tc>
          <w:tcPr>
            <w:tcW w:w="1824" w:type="pct"/>
            <w:gridSpan w:val="2"/>
            <w:vAlign w:val="center"/>
          </w:tcPr>
          <w:p w14:paraId="6FD19B52" w14:textId="77777777" w:rsidR="00C360D3" w:rsidRPr="00E42446" w:rsidRDefault="00C360D3" w:rsidP="000B731A">
            <w:pPr>
              <w:pStyle w:val="Corpsdetexte"/>
              <w:spacing w:before="31"/>
              <w:ind w:left="0"/>
              <w:jc w:val="center"/>
              <w:rPr>
                <w:rFonts w:ascii="Times New Roman" w:hAnsi="Times New Roman" w:cs="Times New Roman"/>
                <w:sz w:val="18"/>
                <w:szCs w:val="18"/>
                <w:lang w:val="ru-RU"/>
              </w:rPr>
            </w:pPr>
            <w:r w:rsidRPr="00E42446">
              <w:rPr>
                <w:rFonts w:ascii="Times New Roman" w:hAnsi="Times New Roman" w:cs="Times New Roman"/>
                <w:b/>
                <w:bCs/>
                <w:sz w:val="18"/>
                <w:szCs w:val="18"/>
              </w:rPr>
              <w:t>Combined Sewer Discharges [1000 m³]</w:t>
            </w:r>
          </w:p>
        </w:tc>
        <w:tc>
          <w:tcPr>
            <w:tcW w:w="866" w:type="pct"/>
            <w:vMerge w:val="restart"/>
            <w:vAlign w:val="center"/>
          </w:tcPr>
          <w:p w14:paraId="5740929F" w14:textId="77777777" w:rsidR="00C360D3" w:rsidRPr="00E42446" w:rsidRDefault="00C360D3" w:rsidP="000B731A">
            <w:pPr>
              <w:pStyle w:val="Corpsdetexte"/>
              <w:spacing w:before="31"/>
              <w:ind w:left="0"/>
              <w:jc w:val="center"/>
              <w:rPr>
                <w:rFonts w:ascii="Times New Roman" w:hAnsi="Times New Roman" w:cs="Times New Roman"/>
                <w:sz w:val="18"/>
                <w:szCs w:val="18"/>
                <w:lang w:val="ru-RU"/>
              </w:rPr>
            </w:pPr>
            <w:proofErr w:type="spellStart"/>
            <w:r w:rsidRPr="00E42446">
              <w:rPr>
                <w:rFonts w:ascii="Times New Roman" w:hAnsi="Times New Roman" w:cs="Times New Roman"/>
                <w:b/>
                <w:bCs/>
                <w:sz w:val="18"/>
                <w:szCs w:val="18"/>
                <w:lang w:val="de-DE"/>
              </w:rPr>
              <w:t>Reduction</w:t>
            </w:r>
            <w:proofErr w:type="spellEnd"/>
            <w:r w:rsidRPr="00E42446">
              <w:rPr>
                <w:rFonts w:ascii="Times New Roman" w:hAnsi="Times New Roman" w:cs="Times New Roman"/>
                <w:b/>
                <w:bCs/>
                <w:sz w:val="18"/>
                <w:szCs w:val="18"/>
                <w:lang w:val="de-DE"/>
              </w:rPr>
              <w:t xml:space="preserve"> [%]</w:t>
            </w:r>
          </w:p>
        </w:tc>
      </w:tr>
      <w:tr w:rsidR="00C360D3" w:rsidRPr="00E42446" w14:paraId="40565933" w14:textId="77777777" w:rsidTr="000B731A">
        <w:tc>
          <w:tcPr>
            <w:tcW w:w="756" w:type="pct"/>
            <w:vMerge/>
            <w:vAlign w:val="center"/>
          </w:tcPr>
          <w:p w14:paraId="06A6C958"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p>
        </w:tc>
        <w:tc>
          <w:tcPr>
            <w:tcW w:w="785" w:type="pct"/>
            <w:vMerge/>
            <w:vAlign w:val="center"/>
          </w:tcPr>
          <w:p w14:paraId="4786DB1B"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p>
        </w:tc>
        <w:tc>
          <w:tcPr>
            <w:tcW w:w="768" w:type="pct"/>
            <w:vMerge/>
            <w:vAlign w:val="center"/>
          </w:tcPr>
          <w:p w14:paraId="1B90861C"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p>
        </w:tc>
        <w:tc>
          <w:tcPr>
            <w:tcW w:w="912" w:type="pct"/>
            <w:vAlign w:val="center"/>
          </w:tcPr>
          <w:p w14:paraId="127597D9" w14:textId="77777777" w:rsidR="00C360D3" w:rsidRPr="00E42446" w:rsidRDefault="00C360D3" w:rsidP="000B731A">
            <w:pPr>
              <w:pStyle w:val="Corpsdetexte"/>
              <w:spacing w:before="31"/>
              <w:ind w:left="0"/>
              <w:jc w:val="center"/>
              <w:rPr>
                <w:rFonts w:ascii="Times New Roman" w:hAnsi="Times New Roman" w:cs="Times New Roman"/>
                <w:b/>
                <w:bCs/>
                <w:sz w:val="18"/>
                <w:szCs w:val="18"/>
              </w:rPr>
            </w:pPr>
            <w:r w:rsidRPr="00E42446">
              <w:rPr>
                <w:rFonts w:ascii="Times New Roman" w:hAnsi="Times New Roman" w:cs="Times New Roman"/>
                <w:b/>
                <w:bCs/>
                <w:sz w:val="18"/>
                <w:szCs w:val="18"/>
              </w:rPr>
              <w:t>Without Flush Protection</w:t>
            </w:r>
          </w:p>
        </w:tc>
        <w:tc>
          <w:tcPr>
            <w:tcW w:w="912" w:type="pct"/>
            <w:vAlign w:val="center"/>
          </w:tcPr>
          <w:p w14:paraId="444F11BC" w14:textId="77777777" w:rsidR="00C360D3" w:rsidRPr="00E42446" w:rsidRDefault="00C360D3" w:rsidP="000B731A">
            <w:pPr>
              <w:pStyle w:val="Corpsdetexte"/>
              <w:spacing w:before="31"/>
              <w:ind w:left="0"/>
              <w:jc w:val="center"/>
              <w:rPr>
                <w:rFonts w:ascii="Times New Roman" w:hAnsi="Times New Roman" w:cs="Times New Roman"/>
                <w:b/>
                <w:bCs/>
                <w:sz w:val="18"/>
                <w:szCs w:val="18"/>
              </w:rPr>
            </w:pPr>
            <w:r w:rsidRPr="00E42446">
              <w:rPr>
                <w:rFonts w:ascii="Times New Roman" w:hAnsi="Times New Roman" w:cs="Times New Roman"/>
                <w:b/>
                <w:bCs/>
                <w:sz w:val="18"/>
                <w:szCs w:val="18"/>
              </w:rPr>
              <w:t>With Flush Protection</w:t>
            </w:r>
          </w:p>
        </w:tc>
        <w:tc>
          <w:tcPr>
            <w:tcW w:w="866" w:type="pct"/>
            <w:vMerge/>
            <w:vAlign w:val="center"/>
          </w:tcPr>
          <w:p w14:paraId="28683217"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p>
        </w:tc>
      </w:tr>
      <w:tr w:rsidR="00C360D3" w:rsidRPr="00E42446" w14:paraId="71D1C423" w14:textId="77777777" w:rsidTr="000B731A">
        <w:tc>
          <w:tcPr>
            <w:tcW w:w="756" w:type="pct"/>
            <w:vAlign w:val="center"/>
          </w:tcPr>
          <w:p w14:paraId="4BA8BFE2"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r w:rsidRPr="00E42446">
              <w:rPr>
                <w:rFonts w:ascii="Times New Roman" w:hAnsi="Times New Roman" w:cs="Times New Roman"/>
                <w:sz w:val="18"/>
                <w:szCs w:val="18"/>
                <w:lang w:val="de-DE"/>
              </w:rPr>
              <w:t>0</w:t>
            </w:r>
          </w:p>
        </w:tc>
        <w:tc>
          <w:tcPr>
            <w:tcW w:w="785" w:type="pct"/>
            <w:vAlign w:val="center"/>
          </w:tcPr>
          <w:p w14:paraId="23D63072"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r w:rsidRPr="00E42446">
              <w:rPr>
                <w:rFonts w:ascii="Times New Roman" w:hAnsi="Times New Roman" w:cs="Times New Roman"/>
                <w:sz w:val="18"/>
                <w:szCs w:val="18"/>
                <w:lang w:val="de-DE"/>
              </w:rPr>
              <w:t>7</w:t>
            </w:r>
          </w:p>
        </w:tc>
        <w:tc>
          <w:tcPr>
            <w:tcW w:w="768" w:type="pct"/>
            <w:vAlign w:val="center"/>
          </w:tcPr>
          <w:p w14:paraId="6B0D5C1B"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r w:rsidRPr="00E42446">
              <w:rPr>
                <w:rFonts w:ascii="Times New Roman" w:hAnsi="Times New Roman" w:cs="Times New Roman"/>
                <w:sz w:val="18"/>
                <w:szCs w:val="18"/>
                <w:lang w:val="de-DE"/>
              </w:rPr>
              <w:t>0.00</w:t>
            </w:r>
          </w:p>
        </w:tc>
        <w:tc>
          <w:tcPr>
            <w:tcW w:w="912" w:type="pct"/>
            <w:vAlign w:val="center"/>
          </w:tcPr>
          <w:p w14:paraId="7A9357B7" w14:textId="77777777" w:rsidR="00C360D3" w:rsidRPr="00E42446" w:rsidRDefault="00C360D3" w:rsidP="000B731A">
            <w:pPr>
              <w:pStyle w:val="Corpsdetexte"/>
              <w:spacing w:before="31"/>
              <w:ind w:left="0"/>
              <w:jc w:val="center"/>
              <w:rPr>
                <w:rFonts w:ascii="Times New Roman" w:hAnsi="Times New Roman" w:cs="Times New Roman"/>
                <w:b/>
                <w:bCs/>
                <w:sz w:val="18"/>
                <w:szCs w:val="18"/>
              </w:rPr>
            </w:pPr>
            <w:r w:rsidRPr="00E42446">
              <w:rPr>
                <w:rFonts w:ascii="Times New Roman" w:hAnsi="Times New Roman" w:cs="Times New Roman"/>
                <w:sz w:val="18"/>
                <w:szCs w:val="18"/>
                <w:lang w:val="de-DE"/>
              </w:rPr>
              <w:t>5.4</w:t>
            </w:r>
          </w:p>
        </w:tc>
        <w:tc>
          <w:tcPr>
            <w:tcW w:w="912" w:type="pct"/>
            <w:vAlign w:val="center"/>
          </w:tcPr>
          <w:p w14:paraId="0198F481" w14:textId="77777777" w:rsidR="00C360D3" w:rsidRPr="00E42446" w:rsidRDefault="00C360D3" w:rsidP="000B731A">
            <w:pPr>
              <w:pStyle w:val="Corpsdetexte"/>
              <w:spacing w:before="31"/>
              <w:ind w:left="0"/>
              <w:jc w:val="center"/>
              <w:rPr>
                <w:rFonts w:ascii="Times New Roman" w:hAnsi="Times New Roman" w:cs="Times New Roman"/>
                <w:b/>
                <w:bCs/>
                <w:sz w:val="18"/>
                <w:szCs w:val="18"/>
              </w:rPr>
            </w:pPr>
            <w:r w:rsidRPr="00E42446">
              <w:rPr>
                <w:rFonts w:ascii="Times New Roman" w:hAnsi="Times New Roman" w:cs="Times New Roman"/>
                <w:sz w:val="18"/>
                <w:szCs w:val="18"/>
                <w:lang w:val="de-DE"/>
              </w:rPr>
              <w:t>4.8</w:t>
            </w:r>
          </w:p>
        </w:tc>
        <w:tc>
          <w:tcPr>
            <w:tcW w:w="866" w:type="pct"/>
            <w:vAlign w:val="center"/>
          </w:tcPr>
          <w:p w14:paraId="63E8B76D" w14:textId="77777777" w:rsidR="00C360D3" w:rsidRPr="00E42446" w:rsidRDefault="00C360D3" w:rsidP="000B731A">
            <w:pPr>
              <w:pStyle w:val="Corpsdetexte"/>
              <w:spacing w:before="31"/>
              <w:ind w:left="0"/>
              <w:jc w:val="center"/>
              <w:rPr>
                <w:rFonts w:ascii="Times New Roman" w:hAnsi="Times New Roman" w:cs="Times New Roman"/>
                <w:b/>
                <w:bCs/>
                <w:sz w:val="18"/>
                <w:szCs w:val="18"/>
                <w:lang w:val="de-DE"/>
              </w:rPr>
            </w:pPr>
            <w:r w:rsidRPr="00E42446">
              <w:rPr>
                <w:rFonts w:ascii="Times New Roman" w:hAnsi="Times New Roman" w:cs="Times New Roman"/>
                <w:sz w:val="18"/>
                <w:szCs w:val="18"/>
                <w:lang w:val="de-DE"/>
              </w:rPr>
              <w:t>11 %</w:t>
            </w:r>
          </w:p>
        </w:tc>
      </w:tr>
      <w:tr w:rsidR="00C360D3" w:rsidRPr="00E42446" w14:paraId="3DEFC6BD" w14:textId="77777777" w:rsidTr="000B731A">
        <w:tc>
          <w:tcPr>
            <w:tcW w:w="756" w:type="pct"/>
            <w:vAlign w:val="center"/>
          </w:tcPr>
          <w:p w14:paraId="175E5B78"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w:t>
            </w:r>
          </w:p>
        </w:tc>
        <w:tc>
          <w:tcPr>
            <w:tcW w:w="785" w:type="pct"/>
            <w:vAlign w:val="center"/>
          </w:tcPr>
          <w:p w14:paraId="19E7BBA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6A178E59"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0.72</w:t>
            </w:r>
          </w:p>
        </w:tc>
        <w:tc>
          <w:tcPr>
            <w:tcW w:w="912" w:type="pct"/>
            <w:vAlign w:val="center"/>
          </w:tcPr>
          <w:p w14:paraId="24BCD682"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5.8</w:t>
            </w:r>
          </w:p>
        </w:tc>
        <w:tc>
          <w:tcPr>
            <w:tcW w:w="912" w:type="pct"/>
            <w:vAlign w:val="center"/>
          </w:tcPr>
          <w:p w14:paraId="7B7DFB76"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5.2</w:t>
            </w:r>
          </w:p>
        </w:tc>
        <w:tc>
          <w:tcPr>
            <w:tcW w:w="866" w:type="pct"/>
            <w:vAlign w:val="center"/>
          </w:tcPr>
          <w:p w14:paraId="2B24CD96"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10 %</w:t>
            </w:r>
          </w:p>
        </w:tc>
      </w:tr>
      <w:tr w:rsidR="00C360D3" w:rsidRPr="00E42446" w14:paraId="575C3909" w14:textId="77777777" w:rsidTr="000B731A">
        <w:tc>
          <w:tcPr>
            <w:tcW w:w="756" w:type="pct"/>
            <w:vAlign w:val="center"/>
          </w:tcPr>
          <w:p w14:paraId="32A812E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w:t>
            </w:r>
          </w:p>
        </w:tc>
        <w:tc>
          <w:tcPr>
            <w:tcW w:w="785" w:type="pct"/>
            <w:vAlign w:val="center"/>
          </w:tcPr>
          <w:p w14:paraId="74EB1F3B"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7B1A146A"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1.47</w:t>
            </w:r>
          </w:p>
        </w:tc>
        <w:tc>
          <w:tcPr>
            <w:tcW w:w="912" w:type="pct"/>
            <w:vAlign w:val="center"/>
          </w:tcPr>
          <w:p w14:paraId="328E1B9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28.3</w:t>
            </w:r>
          </w:p>
        </w:tc>
        <w:tc>
          <w:tcPr>
            <w:tcW w:w="912" w:type="pct"/>
            <w:vAlign w:val="center"/>
          </w:tcPr>
          <w:p w14:paraId="10C67902"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25.9</w:t>
            </w:r>
          </w:p>
        </w:tc>
        <w:tc>
          <w:tcPr>
            <w:tcW w:w="866" w:type="pct"/>
            <w:vAlign w:val="center"/>
          </w:tcPr>
          <w:p w14:paraId="291CF7D4"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8 %</w:t>
            </w:r>
          </w:p>
        </w:tc>
      </w:tr>
      <w:tr w:rsidR="00C360D3" w:rsidRPr="00E42446" w14:paraId="17EC450E" w14:textId="77777777" w:rsidTr="000B731A">
        <w:tc>
          <w:tcPr>
            <w:tcW w:w="756" w:type="pct"/>
            <w:vAlign w:val="center"/>
          </w:tcPr>
          <w:p w14:paraId="0804F0E1"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85" w:type="pct"/>
            <w:vAlign w:val="center"/>
          </w:tcPr>
          <w:p w14:paraId="40999CB6"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601DDC1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2.14</w:t>
            </w:r>
          </w:p>
        </w:tc>
        <w:tc>
          <w:tcPr>
            <w:tcW w:w="912" w:type="pct"/>
            <w:vAlign w:val="center"/>
          </w:tcPr>
          <w:p w14:paraId="74904BDE"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22.1</w:t>
            </w:r>
          </w:p>
        </w:tc>
        <w:tc>
          <w:tcPr>
            <w:tcW w:w="912" w:type="pct"/>
            <w:vAlign w:val="center"/>
          </w:tcPr>
          <w:p w14:paraId="5EBB7FBA"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16.4</w:t>
            </w:r>
          </w:p>
        </w:tc>
        <w:tc>
          <w:tcPr>
            <w:tcW w:w="866" w:type="pct"/>
            <w:vAlign w:val="center"/>
          </w:tcPr>
          <w:p w14:paraId="5A1FFAFB"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26 %</w:t>
            </w:r>
          </w:p>
        </w:tc>
      </w:tr>
      <w:tr w:rsidR="00C360D3" w:rsidRPr="00E42446" w14:paraId="299C37FA" w14:textId="77777777" w:rsidTr="000B731A">
        <w:tc>
          <w:tcPr>
            <w:tcW w:w="756" w:type="pct"/>
            <w:vAlign w:val="center"/>
          </w:tcPr>
          <w:p w14:paraId="5E21E3B4"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4</w:t>
            </w:r>
          </w:p>
        </w:tc>
        <w:tc>
          <w:tcPr>
            <w:tcW w:w="785" w:type="pct"/>
            <w:vAlign w:val="center"/>
          </w:tcPr>
          <w:p w14:paraId="55296461"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2FFCBDF9"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2.90</w:t>
            </w:r>
          </w:p>
        </w:tc>
        <w:tc>
          <w:tcPr>
            <w:tcW w:w="912" w:type="pct"/>
            <w:vAlign w:val="center"/>
          </w:tcPr>
          <w:p w14:paraId="0E10C00B"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350.0</w:t>
            </w:r>
          </w:p>
        </w:tc>
        <w:tc>
          <w:tcPr>
            <w:tcW w:w="912" w:type="pct"/>
            <w:vAlign w:val="center"/>
          </w:tcPr>
          <w:p w14:paraId="33A41D85"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272.3</w:t>
            </w:r>
          </w:p>
        </w:tc>
        <w:tc>
          <w:tcPr>
            <w:tcW w:w="866" w:type="pct"/>
            <w:vAlign w:val="center"/>
          </w:tcPr>
          <w:p w14:paraId="3A0D41A5"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22 %</w:t>
            </w:r>
          </w:p>
        </w:tc>
      </w:tr>
      <w:tr w:rsidR="00C360D3" w:rsidRPr="00E42446" w14:paraId="76F52851" w14:textId="77777777" w:rsidTr="000B731A">
        <w:tc>
          <w:tcPr>
            <w:tcW w:w="756" w:type="pct"/>
            <w:vAlign w:val="center"/>
          </w:tcPr>
          <w:p w14:paraId="691C2DE9"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w:t>
            </w:r>
          </w:p>
        </w:tc>
        <w:tc>
          <w:tcPr>
            <w:tcW w:w="785" w:type="pct"/>
            <w:vAlign w:val="center"/>
          </w:tcPr>
          <w:p w14:paraId="791A3768"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7DCC82F8"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3.79</w:t>
            </w:r>
          </w:p>
        </w:tc>
        <w:tc>
          <w:tcPr>
            <w:tcW w:w="912" w:type="pct"/>
            <w:vAlign w:val="center"/>
          </w:tcPr>
          <w:p w14:paraId="29C95D68"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165.5</w:t>
            </w:r>
          </w:p>
        </w:tc>
        <w:tc>
          <w:tcPr>
            <w:tcW w:w="912" w:type="pct"/>
            <w:vAlign w:val="center"/>
          </w:tcPr>
          <w:p w14:paraId="2D111541"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159.0</w:t>
            </w:r>
          </w:p>
        </w:tc>
        <w:tc>
          <w:tcPr>
            <w:tcW w:w="866" w:type="pct"/>
            <w:vAlign w:val="center"/>
          </w:tcPr>
          <w:p w14:paraId="03693A7B"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4 %</w:t>
            </w:r>
          </w:p>
        </w:tc>
      </w:tr>
      <w:tr w:rsidR="00C360D3" w:rsidRPr="00E42446" w14:paraId="1F920254" w14:textId="77777777" w:rsidTr="000B731A">
        <w:tc>
          <w:tcPr>
            <w:tcW w:w="756" w:type="pct"/>
            <w:vAlign w:val="center"/>
          </w:tcPr>
          <w:p w14:paraId="3618AF0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6</w:t>
            </w:r>
          </w:p>
        </w:tc>
        <w:tc>
          <w:tcPr>
            <w:tcW w:w="785" w:type="pct"/>
            <w:vAlign w:val="center"/>
          </w:tcPr>
          <w:p w14:paraId="6BFE6B57"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1A68C85E"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4.29</w:t>
            </w:r>
          </w:p>
        </w:tc>
        <w:tc>
          <w:tcPr>
            <w:tcW w:w="912" w:type="pct"/>
            <w:vAlign w:val="center"/>
          </w:tcPr>
          <w:p w14:paraId="40DB7705"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146.8</w:t>
            </w:r>
          </w:p>
        </w:tc>
        <w:tc>
          <w:tcPr>
            <w:tcW w:w="912" w:type="pct"/>
            <w:vAlign w:val="center"/>
          </w:tcPr>
          <w:p w14:paraId="3E71CF7C"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137.5</w:t>
            </w:r>
          </w:p>
        </w:tc>
        <w:tc>
          <w:tcPr>
            <w:tcW w:w="866" w:type="pct"/>
            <w:vAlign w:val="center"/>
          </w:tcPr>
          <w:p w14:paraId="2F31ABA1"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6 %</w:t>
            </w:r>
          </w:p>
        </w:tc>
      </w:tr>
      <w:tr w:rsidR="00C360D3" w:rsidRPr="00E42446" w14:paraId="20F3ADC7" w14:textId="77777777" w:rsidTr="000B731A">
        <w:tc>
          <w:tcPr>
            <w:tcW w:w="756" w:type="pct"/>
            <w:vAlign w:val="center"/>
          </w:tcPr>
          <w:p w14:paraId="3F7004E4"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85" w:type="pct"/>
            <w:vAlign w:val="center"/>
          </w:tcPr>
          <w:p w14:paraId="47787765"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w:t>
            </w:r>
          </w:p>
        </w:tc>
        <w:tc>
          <w:tcPr>
            <w:tcW w:w="768" w:type="pct"/>
            <w:vAlign w:val="center"/>
          </w:tcPr>
          <w:p w14:paraId="73892BF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5.21</w:t>
            </w:r>
          </w:p>
        </w:tc>
        <w:tc>
          <w:tcPr>
            <w:tcW w:w="912" w:type="pct"/>
            <w:vAlign w:val="center"/>
          </w:tcPr>
          <w:p w14:paraId="706981FE"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240.1</w:t>
            </w:r>
          </w:p>
        </w:tc>
        <w:tc>
          <w:tcPr>
            <w:tcW w:w="912" w:type="pct"/>
            <w:vAlign w:val="center"/>
          </w:tcPr>
          <w:p w14:paraId="1AACDB7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284.4</w:t>
            </w:r>
          </w:p>
        </w:tc>
        <w:tc>
          <w:tcPr>
            <w:tcW w:w="866" w:type="pct"/>
            <w:vAlign w:val="center"/>
          </w:tcPr>
          <w:p w14:paraId="746D521A"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–18 %</w:t>
            </w:r>
          </w:p>
        </w:tc>
      </w:tr>
      <w:tr w:rsidR="00C360D3" w:rsidRPr="00E42446" w14:paraId="4BC36D41" w14:textId="77777777" w:rsidTr="000B731A">
        <w:tc>
          <w:tcPr>
            <w:tcW w:w="756" w:type="pct"/>
            <w:vAlign w:val="center"/>
          </w:tcPr>
          <w:p w14:paraId="3F5E685C"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8</w:t>
            </w:r>
          </w:p>
        </w:tc>
        <w:tc>
          <w:tcPr>
            <w:tcW w:w="785" w:type="pct"/>
            <w:vAlign w:val="center"/>
          </w:tcPr>
          <w:p w14:paraId="23D66CB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7414588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0.00</w:t>
            </w:r>
          </w:p>
        </w:tc>
        <w:tc>
          <w:tcPr>
            <w:tcW w:w="912" w:type="pct"/>
            <w:vAlign w:val="center"/>
          </w:tcPr>
          <w:p w14:paraId="4B961767"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3.0</w:t>
            </w:r>
          </w:p>
        </w:tc>
        <w:tc>
          <w:tcPr>
            <w:tcW w:w="912" w:type="pct"/>
            <w:vAlign w:val="center"/>
          </w:tcPr>
          <w:p w14:paraId="580C9FC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2.4</w:t>
            </w:r>
          </w:p>
        </w:tc>
        <w:tc>
          <w:tcPr>
            <w:tcW w:w="866" w:type="pct"/>
            <w:vAlign w:val="center"/>
          </w:tcPr>
          <w:p w14:paraId="7759D168"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20 %</w:t>
            </w:r>
          </w:p>
        </w:tc>
      </w:tr>
      <w:tr w:rsidR="00C360D3" w:rsidRPr="00E42446" w14:paraId="33B88C89" w14:textId="77777777" w:rsidTr="000B731A">
        <w:tc>
          <w:tcPr>
            <w:tcW w:w="756" w:type="pct"/>
            <w:vAlign w:val="center"/>
          </w:tcPr>
          <w:p w14:paraId="234334C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9</w:t>
            </w:r>
          </w:p>
        </w:tc>
        <w:tc>
          <w:tcPr>
            <w:tcW w:w="785" w:type="pct"/>
            <w:vAlign w:val="center"/>
          </w:tcPr>
          <w:p w14:paraId="644D5C4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06DB399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1.68</w:t>
            </w:r>
          </w:p>
        </w:tc>
        <w:tc>
          <w:tcPr>
            <w:tcW w:w="912" w:type="pct"/>
            <w:vAlign w:val="center"/>
          </w:tcPr>
          <w:p w14:paraId="233DF9A1"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20.1</w:t>
            </w:r>
          </w:p>
        </w:tc>
        <w:tc>
          <w:tcPr>
            <w:tcW w:w="912" w:type="pct"/>
            <w:vAlign w:val="center"/>
          </w:tcPr>
          <w:p w14:paraId="1B9E54CE"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8.0</w:t>
            </w:r>
          </w:p>
        </w:tc>
        <w:tc>
          <w:tcPr>
            <w:tcW w:w="866" w:type="pct"/>
            <w:vAlign w:val="center"/>
          </w:tcPr>
          <w:p w14:paraId="242828F9"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60 %</w:t>
            </w:r>
          </w:p>
        </w:tc>
      </w:tr>
      <w:tr w:rsidR="00C360D3" w:rsidRPr="00E42446" w14:paraId="223FD066" w14:textId="77777777" w:rsidTr="000B731A">
        <w:tc>
          <w:tcPr>
            <w:tcW w:w="756" w:type="pct"/>
            <w:vAlign w:val="center"/>
          </w:tcPr>
          <w:p w14:paraId="49F42076"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10</w:t>
            </w:r>
          </w:p>
        </w:tc>
        <w:tc>
          <w:tcPr>
            <w:tcW w:w="785" w:type="pct"/>
            <w:vAlign w:val="center"/>
          </w:tcPr>
          <w:p w14:paraId="358E2DA7"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2A7A30E4"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3.34</w:t>
            </w:r>
          </w:p>
        </w:tc>
        <w:tc>
          <w:tcPr>
            <w:tcW w:w="912" w:type="pct"/>
            <w:vAlign w:val="center"/>
          </w:tcPr>
          <w:p w14:paraId="2CB270C6"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3.6</w:t>
            </w:r>
          </w:p>
        </w:tc>
        <w:tc>
          <w:tcPr>
            <w:tcW w:w="912" w:type="pct"/>
            <w:vAlign w:val="center"/>
          </w:tcPr>
          <w:p w14:paraId="549D1C84"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3.0</w:t>
            </w:r>
          </w:p>
        </w:tc>
        <w:tc>
          <w:tcPr>
            <w:tcW w:w="866" w:type="pct"/>
            <w:vAlign w:val="center"/>
          </w:tcPr>
          <w:p w14:paraId="2A5BE3D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17 %</w:t>
            </w:r>
          </w:p>
        </w:tc>
      </w:tr>
      <w:tr w:rsidR="00C360D3" w:rsidRPr="00E42446" w14:paraId="22AD61CE" w14:textId="77777777" w:rsidTr="000B731A">
        <w:tc>
          <w:tcPr>
            <w:tcW w:w="756" w:type="pct"/>
            <w:vAlign w:val="center"/>
          </w:tcPr>
          <w:p w14:paraId="052A9C1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11</w:t>
            </w:r>
          </w:p>
        </w:tc>
        <w:tc>
          <w:tcPr>
            <w:tcW w:w="785" w:type="pct"/>
            <w:vAlign w:val="center"/>
          </w:tcPr>
          <w:p w14:paraId="4EB3F42E"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68AB54E9"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5.00</w:t>
            </w:r>
          </w:p>
        </w:tc>
        <w:tc>
          <w:tcPr>
            <w:tcW w:w="912" w:type="pct"/>
            <w:vAlign w:val="center"/>
          </w:tcPr>
          <w:p w14:paraId="0FE5646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79.0</w:t>
            </w:r>
          </w:p>
        </w:tc>
        <w:tc>
          <w:tcPr>
            <w:tcW w:w="912" w:type="pct"/>
            <w:vAlign w:val="center"/>
          </w:tcPr>
          <w:p w14:paraId="6E4ABE7A"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39.3</w:t>
            </w:r>
          </w:p>
        </w:tc>
        <w:tc>
          <w:tcPr>
            <w:tcW w:w="866" w:type="pct"/>
            <w:vAlign w:val="center"/>
          </w:tcPr>
          <w:p w14:paraId="447A4B7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50 %</w:t>
            </w:r>
          </w:p>
        </w:tc>
      </w:tr>
      <w:tr w:rsidR="00C360D3" w:rsidRPr="00E42446" w14:paraId="6DAF7A12" w14:textId="77777777" w:rsidTr="000B731A">
        <w:tc>
          <w:tcPr>
            <w:tcW w:w="756" w:type="pct"/>
            <w:vAlign w:val="center"/>
          </w:tcPr>
          <w:p w14:paraId="708DEC4E"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12</w:t>
            </w:r>
          </w:p>
        </w:tc>
        <w:tc>
          <w:tcPr>
            <w:tcW w:w="785" w:type="pct"/>
            <w:vAlign w:val="center"/>
          </w:tcPr>
          <w:p w14:paraId="0FAF6FB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585C7672"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6.97</w:t>
            </w:r>
          </w:p>
        </w:tc>
        <w:tc>
          <w:tcPr>
            <w:tcW w:w="912" w:type="pct"/>
            <w:vAlign w:val="center"/>
          </w:tcPr>
          <w:p w14:paraId="6E38E68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274.1</w:t>
            </w:r>
          </w:p>
        </w:tc>
        <w:tc>
          <w:tcPr>
            <w:tcW w:w="912" w:type="pct"/>
            <w:vAlign w:val="center"/>
          </w:tcPr>
          <w:p w14:paraId="17EFBCB5"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253.2</w:t>
            </w:r>
          </w:p>
        </w:tc>
        <w:tc>
          <w:tcPr>
            <w:tcW w:w="866" w:type="pct"/>
            <w:vAlign w:val="center"/>
          </w:tcPr>
          <w:p w14:paraId="6327172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8 %</w:t>
            </w:r>
          </w:p>
        </w:tc>
      </w:tr>
      <w:tr w:rsidR="00C360D3" w:rsidRPr="00E42446" w14:paraId="57A4A8D7" w14:textId="77777777" w:rsidTr="000B731A">
        <w:tc>
          <w:tcPr>
            <w:tcW w:w="756" w:type="pct"/>
            <w:vAlign w:val="center"/>
          </w:tcPr>
          <w:p w14:paraId="7FEAF501"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13</w:t>
            </w:r>
          </w:p>
        </w:tc>
        <w:tc>
          <w:tcPr>
            <w:tcW w:w="785" w:type="pct"/>
            <w:vAlign w:val="center"/>
          </w:tcPr>
          <w:p w14:paraId="73C619E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11DD8EF7"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8.35</w:t>
            </w:r>
          </w:p>
        </w:tc>
        <w:tc>
          <w:tcPr>
            <w:tcW w:w="912" w:type="pct"/>
            <w:vAlign w:val="center"/>
          </w:tcPr>
          <w:p w14:paraId="7BC2429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255.2</w:t>
            </w:r>
          </w:p>
        </w:tc>
        <w:tc>
          <w:tcPr>
            <w:tcW w:w="912" w:type="pct"/>
            <w:vAlign w:val="center"/>
          </w:tcPr>
          <w:p w14:paraId="66808E4A"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w:t>
            </w:r>
            <w:r>
              <w:rPr>
                <w:rFonts w:ascii="Times New Roman" w:hAnsi="Times New Roman" w:cs="Times New Roman"/>
                <w:sz w:val="18"/>
                <w:szCs w:val="18"/>
                <w:lang w:val="ru-RU"/>
              </w:rPr>
              <w:t>5</w:t>
            </w:r>
            <w:r w:rsidRPr="00E42446">
              <w:rPr>
                <w:rFonts w:ascii="Times New Roman" w:hAnsi="Times New Roman" w:cs="Times New Roman"/>
                <w:sz w:val="18"/>
                <w:szCs w:val="18"/>
                <w:lang w:val="de-DE"/>
              </w:rPr>
              <w:t>2.3</w:t>
            </w:r>
          </w:p>
        </w:tc>
        <w:tc>
          <w:tcPr>
            <w:tcW w:w="866" w:type="pct"/>
            <w:vAlign w:val="center"/>
          </w:tcPr>
          <w:p w14:paraId="6CDF900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Pr>
                <w:rFonts w:ascii="Times New Roman" w:hAnsi="Times New Roman" w:cs="Times New Roman"/>
                <w:sz w:val="18"/>
                <w:szCs w:val="18"/>
                <w:lang w:val="ru-RU"/>
              </w:rPr>
              <w:t>1</w:t>
            </w:r>
            <w:r w:rsidRPr="00E42446">
              <w:rPr>
                <w:rFonts w:ascii="Times New Roman" w:hAnsi="Times New Roman" w:cs="Times New Roman"/>
                <w:sz w:val="18"/>
                <w:szCs w:val="18"/>
                <w:lang w:val="de-DE"/>
              </w:rPr>
              <w:t xml:space="preserve"> %</w:t>
            </w:r>
          </w:p>
        </w:tc>
      </w:tr>
      <w:tr w:rsidR="00C360D3" w:rsidRPr="00E42446" w14:paraId="00C745E3" w14:textId="77777777" w:rsidTr="000B731A">
        <w:tc>
          <w:tcPr>
            <w:tcW w:w="756" w:type="pct"/>
            <w:vAlign w:val="center"/>
          </w:tcPr>
          <w:p w14:paraId="62EE33B8"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14</w:t>
            </w:r>
          </w:p>
        </w:tc>
        <w:tc>
          <w:tcPr>
            <w:tcW w:w="785" w:type="pct"/>
            <w:vAlign w:val="center"/>
          </w:tcPr>
          <w:p w14:paraId="6742FE19"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101AE046"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10.78</w:t>
            </w:r>
          </w:p>
        </w:tc>
        <w:tc>
          <w:tcPr>
            <w:tcW w:w="912" w:type="pct"/>
            <w:vAlign w:val="center"/>
          </w:tcPr>
          <w:p w14:paraId="721A931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506.2</w:t>
            </w:r>
          </w:p>
        </w:tc>
        <w:tc>
          <w:tcPr>
            <w:tcW w:w="912" w:type="pct"/>
            <w:vAlign w:val="center"/>
          </w:tcPr>
          <w:p w14:paraId="00894235"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494.5</w:t>
            </w:r>
          </w:p>
        </w:tc>
        <w:tc>
          <w:tcPr>
            <w:tcW w:w="866" w:type="pct"/>
            <w:vAlign w:val="center"/>
          </w:tcPr>
          <w:p w14:paraId="2CBD99F0"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2 %</w:t>
            </w:r>
          </w:p>
        </w:tc>
      </w:tr>
      <w:tr w:rsidR="00C360D3" w:rsidRPr="00E42446" w14:paraId="19061F31" w14:textId="77777777" w:rsidTr="000B731A">
        <w:tc>
          <w:tcPr>
            <w:tcW w:w="756" w:type="pct"/>
            <w:vAlign w:val="center"/>
          </w:tcPr>
          <w:p w14:paraId="77D0CF32"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15</w:t>
            </w:r>
          </w:p>
        </w:tc>
        <w:tc>
          <w:tcPr>
            <w:tcW w:w="785" w:type="pct"/>
            <w:vAlign w:val="center"/>
          </w:tcPr>
          <w:p w14:paraId="20A99C6D"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3</w:t>
            </w:r>
          </w:p>
        </w:tc>
        <w:tc>
          <w:tcPr>
            <w:tcW w:w="768" w:type="pct"/>
            <w:vAlign w:val="center"/>
          </w:tcPr>
          <w:p w14:paraId="25E2D48C"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15.00</w:t>
            </w:r>
          </w:p>
        </w:tc>
        <w:tc>
          <w:tcPr>
            <w:tcW w:w="912" w:type="pct"/>
            <w:vAlign w:val="center"/>
          </w:tcPr>
          <w:p w14:paraId="0A00B543"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504.6</w:t>
            </w:r>
          </w:p>
        </w:tc>
        <w:tc>
          <w:tcPr>
            <w:tcW w:w="912" w:type="pct"/>
            <w:vAlign w:val="center"/>
          </w:tcPr>
          <w:p w14:paraId="583679DF"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581.3</w:t>
            </w:r>
          </w:p>
        </w:tc>
        <w:tc>
          <w:tcPr>
            <w:tcW w:w="866" w:type="pct"/>
            <w:vAlign w:val="center"/>
          </w:tcPr>
          <w:p w14:paraId="3CEE3222" w14:textId="77777777" w:rsidR="00C360D3" w:rsidRPr="00E42446" w:rsidRDefault="00C360D3" w:rsidP="000B731A">
            <w:pPr>
              <w:pStyle w:val="Corpsdetexte"/>
              <w:spacing w:before="31"/>
              <w:ind w:left="0"/>
              <w:jc w:val="center"/>
              <w:rPr>
                <w:rFonts w:ascii="Times New Roman" w:hAnsi="Times New Roman" w:cs="Times New Roman"/>
                <w:sz w:val="18"/>
                <w:szCs w:val="18"/>
                <w:lang w:val="de-DE"/>
              </w:rPr>
            </w:pPr>
            <w:r w:rsidRPr="00E42446">
              <w:rPr>
                <w:rFonts w:ascii="Times New Roman" w:hAnsi="Times New Roman" w:cs="Times New Roman"/>
                <w:sz w:val="18"/>
                <w:szCs w:val="18"/>
                <w:lang w:val="de-DE"/>
              </w:rPr>
              <w:t>–15 %</w:t>
            </w:r>
          </w:p>
        </w:tc>
      </w:tr>
    </w:tbl>
    <w:p w14:paraId="6113AFD6" w14:textId="36E8F932" w:rsidR="00C360D3" w:rsidRDefault="00C360D3" w:rsidP="00C360D3">
      <w:pPr>
        <w:jc w:val="center"/>
        <w:rPr>
          <w:lang w:val="de-DE"/>
        </w:rPr>
      </w:pPr>
    </w:p>
    <w:p w14:paraId="6F7B561A" w14:textId="77777777" w:rsidR="006F3DFC" w:rsidRPr="00C54D86" w:rsidRDefault="006F3DFC" w:rsidP="006F3DFC">
      <w:pPr>
        <w:rPr>
          <w:rFonts w:ascii="Calibri" w:hAnsi="Calibri" w:cs="Calibri"/>
          <w:sz w:val="24"/>
        </w:rPr>
      </w:pPr>
      <w:r w:rsidRPr="00C92CB8">
        <w:rPr>
          <w:lang w:val="en-US"/>
        </w:rPr>
        <w:lastRenderedPageBreak/>
        <w:t xml:space="preserve">   </w:t>
      </w:r>
      <w:r w:rsidRPr="00C54D86">
        <w:rPr>
          <w:rFonts w:ascii="Calibri" w:hAnsi="Calibri" w:cs="Calibri"/>
          <w:noProof/>
          <w:sz w:val="24"/>
        </w:rPr>
        <w:drawing>
          <wp:inline distT="0" distB="0" distL="0" distR="0" wp14:anchorId="323C8D65" wp14:editId="5809318F">
            <wp:extent cx="2590287" cy="1942465"/>
            <wp:effectExtent l="0" t="0" r="635" b="635"/>
            <wp:docPr id="3" name="Grafik 3" descr="Ein Bild, das Wasser, Gebäude, Gelände, Schmutz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Wasser, Gebäude, Gelände, Schmutzig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8925" cy="1956442"/>
                    </a:xfrm>
                    <a:prstGeom prst="rect">
                      <a:avLst/>
                    </a:prstGeom>
                    <a:noFill/>
                    <a:ln>
                      <a:noFill/>
                    </a:ln>
                  </pic:spPr>
                </pic:pic>
              </a:graphicData>
            </a:graphic>
          </wp:inline>
        </w:drawing>
      </w:r>
      <w:r w:rsidRPr="00C92CB8">
        <w:rPr>
          <w:noProof/>
          <w:color w:val="FF0000"/>
          <w:lang w:val="en-US"/>
        </w:rPr>
        <w:t xml:space="preserve">       </w:t>
      </w:r>
      <w:r>
        <w:rPr>
          <w:noProof/>
          <w:color w:val="FF0000"/>
        </w:rPr>
        <w:drawing>
          <wp:inline distT="0" distB="0" distL="0" distR="0" wp14:anchorId="73BF1AEE" wp14:editId="05791074">
            <wp:extent cx="2601569" cy="1951013"/>
            <wp:effectExtent l="0" t="0" r="8890" b="0"/>
            <wp:docPr id="2" name="Grafik 2" descr="Ein Bild, das Wasser, Boot, Schmutzig,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Wasser, Boot, Schmutzig, Transport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09478" cy="1956944"/>
                    </a:xfrm>
                    <a:prstGeom prst="rect">
                      <a:avLst/>
                    </a:prstGeom>
                    <a:noFill/>
                    <a:ln>
                      <a:noFill/>
                    </a:ln>
                  </pic:spPr>
                </pic:pic>
              </a:graphicData>
            </a:graphic>
          </wp:inline>
        </w:drawing>
      </w:r>
    </w:p>
    <w:p w14:paraId="69A3212C" w14:textId="77777777" w:rsidR="006F3DFC" w:rsidRPr="00C92CB8" w:rsidRDefault="006F3DFC" w:rsidP="006F3DFC">
      <w:pPr>
        <w:jc w:val="center"/>
        <w:rPr>
          <w:sz w:val="18"/>
          <w:szCs w:val="22"/>
          <w:lang w:val="en-US"/>
        </w:rPr>
      </w:pPr>
      <w:r w:rsidRPr="00921347">
        <w:rPr>
          <w:rFonts w:ascii="Calibri" w:hAnsi="Calibri" w:cs="Calibri"/>
          <w:sz w:val="18"/>
          <w:szCs w:val="18"/>
          <w:lang w:val="en-GB"/>
        </w:rPr>
        <w:t xml:space="preserve">Figure 2: Installed flush valve in closed and open position and throttling of wastewater (source: </w:t>
      </w:r>
      <w:proofErr w:type="spellStart"/>
      <w:r w:rsidRPr="00921347">
        <w:rPr>
          <w:rFonts w:ascii="Calibri" w:hAnsi="Calibri" w:cs="Calibri"/>
          <w:sz w:val="18"/>
          <w:szCs w:val="18"/>
          <w:lang w:val="en-GB"/>
        </w:rPr>
        <w:t>JenaWasser</w:t>
      </w:r>
      <w:proofErr w:type="spellEnd"/>
      <w:r w:rsidRPr="00921347">
        <w:rPr>
          <w:rFonts w:ascii="Calibri" w:hAnsi="Calibri" w:cs="Calibri"/>
          <w:sz w:val="18"/>
          <w:szCs w:val="18"/>
          <w:lang w:val="en-GB"/>
        </w:rPr>
        <w:t>)</w:t>
      </w:r>
    </w:p>
    <w:p w14:paraId="0AC77F0D" w14:textId="00A2505C" w:rsidR="00C360D3" w:rsidRPr="00ED7B1C" w:rsidRDefault="00C360D3" w:rsidP="00C360D3">
      <w:pPr>
        <w:jc w:val="center"/>
        <w:rPr>
          <w:lang w:val="de-DE"/>
        </w:rPr>
      </w:pPr>
      <w:r>
        <w:rPr>
          <w:noProof/>
          <w:lang w:val="de-DE"/>
        </w:rPr>
        <w:drawing>
          <wp:inline distT="0" distB="0" distL="0" distR="0" wp14:anchorId="6E23FFF2" wp14:editId="761ECC4A">
            <wp:extent cx="5147101" cy="3001010"/>
            <wp:effectExtent l="0" t="0" r="0" b="8890"/>
            <wp:docPr id="1873980045" name="Grafik 1" descr="Ein Bild, das Text, Karte, Screensho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80045" name="Grafik 1" descr="Ein Bild, das Text, Karte, Screenshot, Zahl enthält.&#10;&#10;KI-generierte Inhalte können fehlerhaft sei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49060" cy="3002152"/>
                    </a:xfrm>
                    <a:prstGeom prst="rect">
                      <a:avLst/>
                    </a:prstGeom>
                    <a:noFill/>
                  </pic:spPr>
                </pic:pic>
              </a:graphicData>
            </a:graphic>
          </wp:inline>
        </w:drawing>
      </w:r>
    </w:p>
    <w:p w14:paraId="324E7F8D" w14:textId="77777777" w:rsidR="00C92CB8" w:rsidRPr="00C92CB8" w:rsidRDefault="00C92CB8" w:rsidP="00C92CB8">
      <w:pPr>
        <w:jc w:val="center"/>
        <w:rPr>
          <w:i/>
          <w:iCs/>
          <w:lang w:val="de-DE"/>
        </w:rPr>
      </w:pPr>
      <w:r w:rsidRPr="00C92CB8">
        <w:rPr>
          <w:i/>
          <w:iCs/>
          <w:lang w:val="en-US"/>
        </w:rPr>
        <w:t xml:space="preserve">Figure 3: Integration of </w:t>
      </w:r>
      <w:proofErr w:type="spellStart"/>
      <w:r w:rsidRPr="00C92CB8">
        <w:rPr>
          <w:i/>
          <w:iCs/>
          <w:lang w:val="en-US"/>
        </w:rPr>
        <w:t>NiRA.web</w:t>
      </w:r>
      <w:proofErr w:type="spellEnd"/>
      <w:r w:rsidRPr="00C92CB8">
        <w:rPr>
          <w:i/>
          <w:iCs/>
          <w:lang w:val="en-US"/>
        </w:rPr>
        <w:t xml:space="preserve"> precipitation data into </w:t>
      </w:r>
      <w:proofErr w:type="spellStart"/>
      <w:r w:rsidRPr="00C92CB8">
        <w:rPr>
          <w:i/>
          <w:iCs/>
          <w:lang w:val="en-US"/>
        </w:rPr>
        <w:t>SCADA.web</w:t>
      </w:r>
      <w:proofErr w:type="spellEnd"/>
      <w:r w:rsidRPr="00C92CB8">
        <w:rPr>
          <w:i/>
          <w:iCs/>
          <w:lang w:val="en-US"/>
        </w:rPr>
        <w:t xml:space="preserve"> (source: HST </w:t>
      </w:r>
      <w:proofErr w:type="spellStart"/>
      <w:r w:rsidRPr="00C92CB8">
        <w:rPr>
          <w:i/>
          <w:iCs/>
          <w:lang w:val="en-US"/>
        </w:rPr>
        <w:t>Systemtechnik</w:t>
      </w:r>
      <w:proofErr w:type="spellEnd"/>
      <w:r w:rsidRPr="00C92CB8">
        <w:rPr>
          <w:i/>
          <w:iCs/>
          <w:lang w:val="en-US"/>
        </w:rPr>
        <w:t xml:space="preserve"> GmbH &amp; Co. </w:t>
      </w:r>
      <w:r w:rsidRPr="00C92CB8">
        <w:rPr>
          <w:i/>
          <w:iCs/>
          <w:lang w:val="de-DE"/>
        </w:rPr>
        <w:t>KG)</w:t>
      </w:r>
    </w:p>
    <w:p w14:paraId="088022B6" w14:textId="77777777" w:rsidR="00C92CB8" w:rsidRPr="00C92CB8" w:rsidRDefault="00C92CB8" w:rsidP="00C92CB8">
      <w:pPr>
        <w:rPr>
          <w:i/>
          <w:iCs/>
          <w:lang w:val="de-DE"/>
        </w:rPr>
      </w:pPr>
    </w:p>
    <w:p w14:paraId="7606C9EE" w14:textId="77777777" w:rsidR="006F3DFC" w:rsidRPr="007D00E0" w:rsidRDefault="006F3DFC" w:rsidP="006F3DFC">
      <w:pPr>
        <w:jc w:val="center"/>
        <w:rPr>
          <w:rFonts w:ascii="Open Sans" w:hAnsi="Open Sans" w:cs="Open Sans"/>
          <w:sz w:val="24"/>
        </w:rPr>
      </w:pPr>
      <w:r w:rsidRPr="00476B6A">
        <w:rPr>
          <w:noProof/>
        </w:rPr>
        <w:drawing>
          <wp:inline distT="0" distB="0" distL="0" distR="0" wp14:anchorId="58982C36" wp14:editId="60E502E2">
            <wp:extent cx="5243338" cy="2326098"/>
            <wp:effectExtent l="0" t="0" r="0" b="0"/>
            <wp:docPr id="1652674462" name="Grafik 1" descr="Ein Bild, das Text, Screenshot, Schrift, Electric Blue (Farb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74462" name="Grafik 1" descr="Ein Bild, das Text, Screenshot, Schrift, Electric Blue (Farbe) enthält.&#10;&#10;KI-generierte Inhalte können fehlerhaft sein."/>
                    <pic:cNvPicPr/>
                  </pic:nvPicPr>
                  <pic:blipFill rotWithShape="1">
                    <a:blip r:embed="rId16"/>
                    <a:srcRect t="3648" b="9453"/>
                    <a:stretch>
                      <a:fillRect/>
                    </a:stretch>
                  </pic:blipFill>
                  <pic:spPr bwMode="auto">
                    <a:xfrm>
                      <a:off x="0" y="0"/>
                      <a:ext cx="5274124" cy="2339756"/>
                    </a:xfrm>
                    <a:prstGeom prst="rect">
                      <a:avLst/>
                    </a:prstGeom>
                    <a:ln>
                      <a:noFill/>
                    </a:ln>
                    <a:extLst>
                      <a:ext uri="{53640926-AAD7-44D8-BBD7-CCE9431645EC}">
                        <a14:shadowObscured xmlns:a14="http://schemas.microsoft.com/office/drawing/2010/main"/>
                      </a:ext>
                    </a:extLst>
                  </pic:spPr>
                </pic:pic>
              </a:graphicData>
            </a:graphic>
          </wp:inline>
        </w:drawing>
      </w:r>
    </w:p>
    <w:p w14:paraId="6A7A20F9" w14:textId="66FA9B2A" w:rsidR="00736F73" w:rsidRPr="00C614EB" w:rsidRDefault="006F3DFC" w:rsidP="008E060E">
      <w:pPr>
        <w:jc w:val="center"/>
        <w:rPr>
          <w:lang w:val="de-DE"/>
        </w:rPr>
      </w:pPr>
      <w:r w:rsidRPr="00921347">
        <w:rPr>
          <w:rFonts w:cstheme="minorHAnsi"/>
          <w:sz w:val="18"/>
          <w:szCs w:val="18"/>
          <w:lang w:val="en-GB"/>
        </w:rPr>
        <w:t xml:space="preserve">Figure 4: Principle of the CBR-based control concept with case database, forecast data and control decisions. </w:t>
      </w:r>
      <w:proofErr w:type="gramStart"/>
      <w:r w:rsidRPr="00C92CB8">
        <w:rPr>
          <w:rFonts w:cstheme="minorHAnsi"/>
          <w:sz w:val="18"/>
          <w:szCs w:val="18"/>
        </w:rPr>
        <w:t>Source:</w:t>
      </w:r>
      <w:proofErr w:type="gramEnd"/>
      <w:r w:rsidRPr="00C92CB8">
        <w:rPr>
          <w:rFonts w:cstheme="minorHAnsi"/>
          <w:sz w:val="18"/>
          <w:szCs w:val="18"/>
        </w:rPr>
        <w:t xml:space="preserve"> Final </w:t>
      </w:r>
      <w:proofErr w:type="spellStart"/>
      <w:r w:rsidRPr="00C92CB8">
        <w:rPr>
          <w:rFonts w:cstheme="minorHAnsi"/>
          <w:sz w:val="18"/>
          <w:szCs w:val="18"/>
        </w:rPr>
        <w:t>presentation</w:t>
      </w:r>
      <w:proofErr w:type="spellEnd"/>
      <w:r w:rsidRPr="00C92CB8">
        <w:rPr>
          <w:rFonts w:cstheme="minorHAnsi"/>
          <w:sz w:val="18"/>
          <w:szCs w:val="18"/>
        </w:rPr>
        <w:t xml:space="preserve"> InSchuKa4.0</w:t>
      </w:r>
      <w:r w:rsidRPr="00C92CB8">
        <w:rPr>
          <w:sz w:val="18"/>
          <w:szCs w:val="22"/>
          <w:lang w:val="de-DE"/>
        </w:rPr>
        <w:t xml:space="preserve"> </w:t>
      </w:r>
    </w:p>
    <w:sectPr w:rsidR="00736F73" w:rsidRPr="00C614EB" w:rsidSect="00406F9D">
      <w:headerReference w:type="even" r:id="rId17"/>
      <w:headerReference w:type="default" r:id="rId18"/>
      <w:footerReference w:type="even" r:id="rId19"/>
      <w:footerReference w:type="default" r:id="rId20"/>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99ADB" w14:textId="77777777" w:rsidR="00BC5B9E" w:rsidRDefault="00BC5B9E" w:rsidP="005667E5">
      <w:r>
        <w:separator/>
      </w:r>
    </w:p>
    <w:p w14:paraId="1BA689C5" w14:textId="77777777" w:rsidR="00BC5B9E" w:rsidRDefault="00BC5B9E"/>
  </w:endnote>
  <w:endnote w:type="continuationSeparator" w:id="0">
    <w:p w14:paraId="1EE4109C" w14:textId="77777777" w:rsidR="00BC5B9E" w:rsidRDefault="00BC5B9E" w:rsidP="005667E5">
      <w:r>
        <w:continuationSeparator/>
      </w:r>
    </w:p>
    <w:p w14:paraId="2E5DE978" w14:textId="77777777" w:rsidR="00BC5B9E" w:rsidRDefault="00BC5B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4470B" w14:textId="77777777" w:rsidR="00BC5B9E" w:rsidRDefault="00BC5B9E" w:rsidP="005667E5">
      <w:r>
        <w:separator/>
      </w:r>
    </w:p>
    <w:p w14:paraId="15C62081" w14:textId="77777777" w:rsidR="00BC5B9E" w:rsidRDefault="00BC5B9E"/>
  </w:footnote>
  <w:footnote w:type="continuationSeparator" w:id="0">
    <w:p w14:paraId="760798AB" w14:textId="77777777" w:rsidR="00BC5B9E" w:rsidRDefault="00BC5B9E" w:rsidP="005667E5">
      <w:r>
        <w:continuationSeparator/>
      </w:r>
    </w:p>
    <w:p w14:paraId="1C78DF38" w14:textId="77777777" w:rsidR="00BC5B9E" w:rsidRDefault="00BC5B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29FA4B55" w:rsidR="00370415" w:rsidRPr="00921347" w:rsidRDefault="009D500F" w:rsidP="009D500F">
    <w:pPr>
      <w:pStyle w:val="En-tte"/>
      <w:pBdr>
        <w:bottom w:val="single" w:sz="4" w:space="1" w:color="auto"/>
      </w:pBdr>
      <w:jc w:val="center"/>
      <w:rPr>
        <w:rFonts w:cstheme="minorHAnsi"/>
        <w:b/>
        <w:color w:val="00B6CF"/>
        <w:sz w:val="20"/>
      </w:rPr>
    </w:pPr>
    <w:r w:rsidRPr="00921347">
      <w:rPr>
        <w:rFonts w:cstheme="minorHAnsi"/>
        <w:b/>
        <w:color w:val="00B6CF"/>
        <w:sz w:val="20"/>
      </w:rPr>
      <w:t>NOVATECH 202</w:t>
    </w:r>
    <w:r w:rsidR="00C076F9" w:rsidRPr="00921347">
      <w:rPr>
        <w:rFonts w:cstheme="minorHAnsi"/>
        <w:b/>
        <w:color w:val="00B6CF"/>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81421"/>
    <w:multiLevelType w:val="hybridMultilevel"/>
    <w:tmpl w:val="EA74FFE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22BE1DDB"/>
    <w:multiLevelType w:val="hybridMultilevel"/>
    <w:tmpl w:val="0D9A26B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45756730"/>
    <w:multiLevelType w:val="multilevel"/>
    <w:tmpl w:val="A3B25374"/>
    <w:lvl w:ilvl="0">
      <w:start w:val="1"/>
      <w:numFmt w:val="decimal"/>
      <w:pStyle w:val="Titre1"/>
      <w:lvlText w:val="%1"/>
      <w:lvlJc w:val="left"/>
      <w:pPr>
        <w:tabs>
          <w:tab w:val="num" w:pos="432"/>
        </w:tabs>
        <w:ind w:left="432" w:hanging="432"/>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4"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2041660247">
    <w:abstractNumId w:val="3"/>
  </w:num>
  <w:num w:numId="2" w16cid:durableId="839932565">
    <w:abstractNumId w:val="2"/>
  </w:num>
  <w:num w:numId="3" w16cid:durableId="531262564">
    <w:abstractNumId w:val="6"/>
  </w:num>
  <w:num w:numId="4" w16cid:durableId="1442917159">
    <w:abstractNumId w:val="4"/>
  </w:num>
  <w:num w:numId="5" w16cid:durableId="673383459">
    <w:abstractNumId w:val="5"/>
  </w:num>
  <w:num w:numId="6" w16cid:durableId="84111713">
    <w:abstractNumId w:val="3"/>
    <w:lvlOverride w:ilvl="0">
      <w:startOverride w:val="1"/>
    </w:lvlOverride>
  </w:num>
  <w:num w:numId="7" w16cid:durableId="1922325929">
    <w:abstractNumId w:val="3"/>
  </w:num>
  <w:num w:numId="8" w16cid:durableId="1798521584">
    <w:abstractNumId w:val="3"/>
  </w:num>
  <w:num w:numId="9" w16cid:durableId="1805807628">
    <w:abstractNumId w:val="3"/>
  </w:num>
  <w:num w:numId="10" w16cid:durableId="721752411">
    <w:abstractNumId w:val="3"/>
  </w:num>
  <w:num w:numId="11" w16cid:durableId="989405131">
    <w:abstractNumId w:val="3"/>
  </w:num>
  <w:num w:numId="12" w16cid:durableId="1213886665">
    <w:abstractNumId w:val="3"/>
  </w:num>
  <w:num w:numId="13" w16cid:durableId="1489399262">
    <w:abstractNumId w:val="3"/>
  </w:num>
  <w:num w:numId="14" w16cid:durableId="427895967">
    <w:abstractNumId w:val="3"/>
  </w:num>
  <w:num w:numId="15" w16cid:durableId="84881775">
    <w:abstractNumId w:val="3"/>
  </w:num>
  <w:num w:numId="16" w16cid:durableId="289241640">
    <w:abstractNumId w:val="3"/>
  </w:num>
  <w:num w:numId="17" w16cid:durableId="401148401">
    <w:abstractNumId w:val="3"/>
  </w:num>
  <w:num w:numId="18" w16cid:durableId="1618639433">
    <w:abstractNumId w:val="3"/>
  </w:num>
  <w:num w:numId="19" w16cid:durableId="2021853029">
    <w:abstractNumId w:val="3"/>
  </w:num>
  <w:num w:numId="20" w16cid:durableId="558593885">
    <w:abstractNumId w:val="0"/>
  </w:num>
  <w:num w:numId="21" w16cid:durableId="1434782420">
    <w:abstractNumId w:val="3"/>
  </w:num>
  <w:num w:numId="22" w16cid:durableId="1054815018">
    <w:abstractNumId w:val="1"/>
  </w:num>
  <w:num w:numId="23" w16cid:durableId="1985349471">
    <w:abstractNumId w:val="3"/>
  </w:num>
  <w:num w:numId="24" w16cid:durableId="1973360705">
    <w:abstractNumId w:val="3"/>
  </w:num>
  <w:num w:numId="25" w16cid:durableId="14695196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11110"/>
    <w:rsid w:val="00017A4E"/>
    <w:rsid w:val="00023D54"/>
    <w:rsid w:val="000676F4"/>
    <w:rsid w:val="00071574"/>
    <w:rsid w:val="0008016D"/>
    <w:rsid w:val="000819A7"/>
    <w:rsid w:val="000A7243"/>
    <w:rsid w:val="000B548D"/>
    <w:rsid w:val="000C4446"/>
    <w:rsid w:val="000C49AF"/>
    <w:rsid w:val="000D6FA7"/>
    <w:rsid w:val="000E3B02"/>
    <w:rsid w:val="00183221"/>
    <w:rsid w:val="00183BB7"/>
    <w:rsid w:val="00186903"/>
    <w:rsid w:val="0018722F"/>
    <w:rsid w:val="0019193B"/>
    <w:rsid w:val="001A3CFB"/>
    <w:rsid w:val="0021284A"/>
    <w:rsid w:val="00241EB3"/>
    <w:rsid w:val="00266171"/>
    <w:rsid w:val="00271F3C"/>
    <w:rsid w:val="0028749D"/>
    <w:rsid w:val="002D6B71"/>
    <w:rsid w:val="002E0E07"/>
    <w:rsid w:val="002E615A"/>
    <w:rsid w:val="002F3AC8"/>
    <w:rsid w:val="002F4A0A"/>
    <w:rsid w:val="002F6454"/>
    <w:rsid w:val="00324E70"/>
    <w:rsid w:val="00326D40"/>
    <w:rsid w:val="0034301E"/>
    <w:rsid w:val="0034523C"/>
    <w:rsid w:val="003569E0"/>
    <w:rsid w:val="00370415"/>
    <w:rsid w:val="0037567C"/>
    <w:rsid w:val="0038371C"/>
    <w:rsid w:val="00386C6E"/>
    <w:rsid w:val="00387A3E"/>
    <w:rsid w:val="00397B39"/>
    <w:rsid w:val="003B43B7"/>
    <w:rsid w:val="003C1A20"/>
    <w:rsid w:val="003C5797"/>
    <w:rsid w:val="003E33A4"/>
    <w:rsid w:val="00406F9D"/>
    <w:rsid w:val="00417639"/>
    <w:rsid w:val="004212C8"/>
    <w:rsid w:val="0043180C"/>
    <w:rsid w:val="0045351A"/>
    <w:rsid w:val="00453BFC"/>
    <w:rsid w:val="00475967"/>
    <w:rsid w:val="004A2D6F"/>
    <w:rsid w:val="004A4730"/>
    <w:rsid w:val="004C7F1A"/>
    <w:rsid w:val="004E25C2"/>
    <w:rsid w:val="004E6436"/>
    <w:rsid w:val="00514764"/>
    <w:rsid w:val="00532FA2"/>
    <w:rsid w:val="00544E67"/>
    <w:rsid w:val="00547F41"/>
    <w:rsid w:val="005663F1"/>
    <w:rsid w:val="005667E5"/>
    <w:rsid w:val="0056699D"/>
    <w:rsid w:val="005833C4"/>
    <w:rsid w:val="005A6353"/>
    <w:rsid w:val="005D0014"/>
    <w:rsid w:val="005D6F11"/>
    <w:rsid w:val="00616C47"/>
    <w:rsid w:val="00647EFF"/>
    <w:rsid w:val="00693E32"/>
    <w:rsid w:val="006C2BDE"/>
    <w:rsid w:val="006C3417"/>
    <w:rsid w:val="006F2FCD"/>
    <w:rsid w:val="006F3DFC"/>
    <w:rsid w:val="00700E48"/>
    <w:rsid w:val="00706730"/>
    <w:rsid w:val="007073B8"/>
    <w:rsid w:val="00735EBE"/>
    <w:rsid w:val="00736F73"/>
    <w:rsid w:val="00737F5E"/>
    <w:rsid w:val="007432AC"/>
    <w:rsid w:val="007460AE"/>
    <w:rsid w:val="0075050E"/>
    <w:rsid w:val="007513E2"/>
    <w:rsid w:val="00786072"/>
    <w:rsid w:val="0079199C"/>
    <w:rsid w:val="007B7EBB"/>
    <w:rsid w:val="007D6258"/>
    <w:rsid w:val="007D6FAF"/>
    <w:rsid w:val="007E7278"/>
    <w:rsid w:val="0080091A"/>
    <w:rsid w:val="00802D46"/>
    <w:rsid w:val="008278C8"/>
    <w:rsid w:val="0083292F"/>
    <w:rsid w:val="00872B7D"/>
    <w:rsid w:val="00876D06"/>
    <w:rsid w:val="00882D5C"/>
    <w:rsid w:val="00883827"/>
    <w:rsid w:val="008839C5"/>
    <w:rsid w:val="00885554"/>
    <w:rsid w:val="008C6D20"/>
    <w:rsid w:val="008E060E"/>
    <w:rsid w:val="008F4210"/>
    <w:rsid w:val="00921347"/>
    <w:rsid w:val="0092386E"/>
    <w:rsid w:val="00941E7E"/>
    <w:rsid w:val="0094398E"/>
    <w:rsid w:val="00946CCE"/>
    <w:rsid w:val="009619F0"/>
    <w:rsid w:val="0096391A"/>
    <w:rsid w:val="00972C57"/>
    <w:rsid w:val="009D500F"/>
    <w:rsid w:val="009E6576"/>
    <w:rsid w:val="009F52B1"/>
    <w:rsid w:val="00A055BB"/>
    <w:rsid w:val="00A05F03"/>
    <w:rsid w:val="00A55D09"/>
    <w:rsid w:val="00A605BF"/>
    <w:rsid w:val="00A609E0"/>
    <w:rsid w:val="00A62561"/>
    <w:rsid w:val="00A87E31"/>
    <w:rsid w:val="00A9340B"/>
    <w:rsid w:val="00AA1C3A"/>
    <w:rsid w:val="00AA6B58"/>
    <w:rsid w:val="00AD74FD"/>
    <w:rsid w:val="00B266A6"/>
    <w:rsid w:val="00B66429"/>
    <w:rsid w:val="00B76FD1"/>
    <w:rsid w:val="00B80EB1"/>
    <w:rsid w:val="00BA04A7"/>
    <w:rsid w:val="00BA135E"/>
    <w:rsid w:val="00BB1267"/>
    <w:rsid w:val="00BC5B9E"/>
    <w:rsid w:val="00C076F9"/>
    <w:rsid w:val="00C0789A"/>
    <w:rsid w:val="00C10FB4"/>
    <w:rsid w:val="00C11F79"/>
    <w:rsid w:val="00C2487F"/>
    <w:rsid w:val="00C26503"/>
    <w:rsid w:val="00C26CA4"/>
    <w:rsid w:val="00C31BFD"/>
    <w:rsid w:val="00C360D3"/>
    <w:rsid w:val="00C614EB"/>
    <w:rsid w:val="00C636C8"/>
    <w:rsid w:val="00C71C8B"/>
    <w:rsid w:val="00C764EC"/>
    <w:rsid w:val="00C92CB8"/>
    <w:rsid w:val="00CA1E44"/>
    <w:rsid w:val="00CD41DD"/>
    <w:rsid w:val="00CD6B84"/>
    <w:rsid w:val="00CF6337"/>
    <w:rsid w:val="00D13121"/>
    <w:rsid w:val="00D2293C"/>
    <w:rsid w:val="00D70620"/>
    <w:rsid w:val="00D77F96"/>
    <w:rsid w:val="00D8230A"/>
    <w:rsid w:val="00DA7D7D"/>
    <w:rsid w:val="00DC3B9C"/>
    <w:rsid w:val="00DC4FD1"/>
    <w:rsid w:val="00DE20F1"/>
    <w:rsid w:val="00DE549A"/>
    <w:rsid w:val="00E04432"/>
    <w:rsid w:val="00E54C27"/>
    <w:rsid w:val="00E615B3"/>
    <w:rsid w:val="00E6625A"/>
    <w:rsid w:val="00E87877"/>
    <w:rsid w:val="00E90E22"/>
    <w:rsid w:val="00EA64D5"/>
    <w:rsid w:val="00ED7B1C"/>
    <w:rsid w:val="00EE5DF7"/>
    <w:rsid w:val="00EF486A"/>
    <w:rsid w:val="00F3593E"/>
    <w:rsid w:val="00F44A4E"/>
    <w:rsid w:val="00F4680E"/>
    <w:rsid w:val="00F649A2"/>
    <w:rsid w:val="00F747BF"/>
    <w:rsid w:val="00F91C97"/>
    <w:rsid w:val="00FC0719"/>
    <w:rsid w:val="00FD20D7"/>
    <w:rsid w:val="00FF34C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unhideWhenUsed/>
    <w:rsid w:val="007B7EBB"/>
    <w:rPr>
      <w:szCs w:val="20"/>
    </w:rPr>
  </w:style>
  <w:style w:type="character" w:customStyle="1" w:styleId="CommentaireCar">
    <w:name w:val="Commentaire Car"/>
    <w:link w:val="Commentaire"/>
    <w:uiPriority w:val="99"/>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paragraph" w:styleId="Paragraphedeliste">
    <w:name w:val="List Paragraph"/>
    <w:basedOn w:val="Normal"/>
    <w:uiPriority w:val="1"/>
    <w:qFormat/>
    <w:rsid w:val="0083292F"/>
    <w:pPr>
      <w:widowControl/>
      <w:overflowPunct w:val="0"/>
      <w:autoSpaceDE w:val="0"/>
      <w:autoSpaceDN w:val="0"/>
      <w:adjustRightInd w:val="0"/>
      <w:spacing w:before="0" w:line="240" w:lineRule="atLeast"/>
      <w:ind w:left="720" w:firstLine="227"/>
      <w:contextualSpacing/>
      <w:textAlignment w:val="baseline"/>
    </w:pPr>
    <w:rPr>
      <w:rFonts w:ascii="Times New Roman" w:hAnsi="Times New Roman"/>
      <w:szCs w:val="20"/>
      <w:lang w:val="en-US" w:eastAsia="en-US"/>
    </w:rPr>
  </w:style>
  <w:style w:type="paragraph" w:styleId="Corpsdetexte">
    <w:name w:val="Body Text"/>
    <w:basedOn w:val="Normal"/>
    <w:link w:val="CorpsdetexteCar"/>
    <w:uiPriority w:val="1"/>
    <w:qFormat/>
    <w:rsid w:val="0083292F"/>
    <w:pPr>
      <w:spacing w:before="0"/>
      <w:ind w:left="836"/>
      <w:jc w:val="left"/>
    </w:pPr>
    <w:rPr>
      <w:rFonts w:ascii="Calibri" w:eastAsia="Calibri" w:hAnsi="Calibri" w:cstheme="minorBidi"/>
      <w:sz w:val="22"/>
      <w:szCs w:val="22"/>
      <w:lang w:val="en-US" w:eastAsia="en-US"/>
    </w:rPr>
  </w:style>
  <w:style w:type="character" w:customStyle="1" w:styleId="CorpsdetexteCar">
    <w:name w:val="Corps de texte Car"/>
    <w:basedOn w:val="Policepardfaut"/>
    <w:link w:val="Corpsdetexte"/>
    <w:uiPriority w:val="1"/>
    <w:rsid w:val="0083292F"/>
    <w:rPr>
      <w:rFonts w:ascii="Calibri" w:eastAsia="Calibri" w:hAnsi="Calibri" w:cstheme="minorBidi"/>
      <w:sz w:val="22"/>
      <w:szCs w:val="22"/>
      <w:lang w:val="en-US" w:eastAsia="en-US"/>
    </w:rPr>
  </w:style>
  <w:style w:type="table" w:styleId="Grilledutableau">
    <w:name w:val="Table Grid"/>
    <w:basedOn w:val="TableauNormal"/>
    <w:uiPriority w:val="39"/>
    <w:rsid w:val="0083292F"/>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28749D"/>
    <w:pPr>
      <w:autoSpaceDE w:val="0"/>
      <w:autoSpaceDN w:val="0"/>
      <w:spacing w:before="0" w:after="200"/>
      <w:jc w:val="left"/>
    </w:pPr>
    <w:rPr>
      <w:rFonts w:ascii="Arial MT" w:eastAsia="Arial MT" w:hAnsi="Arial MT" w:cs="Arial MT"/>
      <w:i/>
      <w:iCs/>
      <w:color w:val="44546A" w:themeColor="text2"/>
      <w:sz w:val="18"/>
      <w:szCs w:val="18"/>
      <w:lang w:val="de-DE" w:eastAsia="en-US"/>
    </w:rPr>
  </w:style>
  <w:style w:type="paragraph" w:styleId="NormalWeb">
    <w:name w:val="Normal (Web)"/>
    <w:basedOn w:val="Normal"/>
    <w:uiPriority w:val="99"/>
    <w:semiHidden/>
    <w:unhideWhenUsed/>
    <w:rsid w:val="00A87E31"/>
    <w:pPr>
      <w:widowControl/>
      <w:spacing w:before="100" w:beforeAutospacing="1" w:after="100" w:afterAutospacing="1"/>
      <w:jc w:val="left"/>
    </w:pPr>
    <w:rPr>
      <w:rFonts w:ascii="Times New Roman" w:hAnsi="Times New Roman"/>
      <w:sz w:val="24"/>
      <w:lang w:val="de-DE" w:eastAsia="de-DE"/>
    </w:rPr>
  </w:style>
  <w:style w:type="paragraph" w:styleId="Rvision">
    <w:name w:val="Revision"/>
    <w:hidden/>
    <w:uiPriority w:val="99"/>
    <w:semiHidden/>
    <w:rsid w:val="00324E70"/>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40FAF7-478B-4DEF-93EC-471517B58F41}">
  <ds:schemaRefs>
    <ds:schemaRef ds:uri="http://schemas.microsoft.com/office/2006/metadata/properties"/>
    <ds:schemaRef ds:uri="http://schemas.microsoft.com/office/infopath/2007/PartnerControls"/>
    <ds:schemaRef ds:uri="551e59af-c345-4516-8904-314e9b251ad6"/>
    <ds:schemaRef ds:uri="d17ac1b6-3fb5-4b17-a073-724c0a731bcf"/>
  </ds:schemaRefs>
</ds:datastoreItem>
</file>

<file path=customXml/itemProps2.xml><?xml version="1.0" encoding="utf-8"?>
<ds:datastoreItem xmlns:ds="http://schemas.openxmlformats.org/officeDocument/2006/customXml" ds:itemID="{47532F0F-1861-41DA-A4B5-9F2F892B690A}">
  <ds:schemaRefs>
    <ds:schemaRef ds:uri="http://schemas.microsoft.com/sharepoint/v3/contenttype/forms"/>
  </ds:schemaRefs>
</ds:datastoreItem>
</file>

<file path=customXml/itemProps3.xml><?xml version="1.0" encoding="utf-8"?>
<ds:datastoreItem xmlns:ds="http://schemas.openxmlformats.org/officeDocument/2006/customXml" ds:itemID="{DA12AB31-B526-41B6-9E74-5BF61BC6E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ac1b6-3fb5-4b17-a073-724c0a731bcf"/>
    <ds:schemaRef ds:uri="551e59af-c345-4516-8904-314e9b251a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CBDF65-4A4B-476A-9256-28D7D98EC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3081</Words>
  <Characters>16946</Characters>
  <Application>Microsoft Office Word</Application>
  <DocSecurity>0</DocSecurity>
  <Lines>141</Lines>
  <Paragraphs>39</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Communication Novatech 2026</vt:lpstr>
      <vt:lpstr>communication novatech</vt:lpstr>
    </vt:vector>
  </TitlesOfParts>
  <Company>GRAIE</Company>
  <LinksUpToDate>false</LinksUpToDate>
  <CharactersWithSpaces>19988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Laure DUMONTE - Graie</cp:lastModifiedBy>
  <cp:revision>2</cp:revision>
  <cp:lastPrinted>2003-09-03T12:25:00Z</cp:lastPrinted>
  <dcterms:created xsi:type="dcterms:W3CDTF">2025-12-15T15:15:00Z</dcterms:created>
  <dcterms:modified xsi:type="dcterms:W3CDTF">2025-12-15T15:15:00Z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