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98663" w14:textId="271553FE" w:rsidR="00C31BFD" w:rsidRPr="00017908" w:rsidRDefault="00325332" w:rsidP="009D500F">
      <w:pPr>
        <w:pStyle w:val="0TitleTitre"/>
        <w:rPr>
          <w:lang w:val="en-US"/>
        </w:rPr>
      </w:pPr>
      <w:r w:rsidRPr="00017908">
        <w:rPr>
          <w:lang w:val="en-US"/>
        </w:rPr>
        <w:t xml:space="preserve">Global sensitivity </w:t>
      </w:r>
      <w:r w:rsidR="00017908" w:rsidRPr="00017908">
        <w:rPr>
          <w:lang w:val="en-US"/>
        </w:rPr>
        <w:t xml:space="preserve">analysis for </w:t>
      </w:r>
      <w:r w:rsidR="00017908">
        <w:rPr>
          <w:lang w:val="en-US"/>
        </w:rPr>
        <w:t>calibrating hydrodynamic sewer models</w:t>
      </w:r>
    </w:p>
    <w:p w14:paraId="6B7564C5" w14:textId="4E806F58" w:rsidR="00C31BFD" w:rsidRPr="00061D24" w:rsidRDefault="00FF28A9" w:rsidP="009D500F">
      <w:pPr>
        <w:pStyle w:val="1Translation"/>
        <w:rPr>
          <w:lang w:val="fr-FR"/>
        </w:rPr>
      </w:pPr>
      <w:r w:rsidRPr="00FF28A9">
        <w:rPr>
          <w:lang w:val="fr-FR"/>
        </w:rPr>
        <w:t>Analyse de sensibilité globale pour l'étalonnage des modèles hydrodynamiques d'égouts</w:t>
      </w:r>
    </w:p>
    <w:p w14:paraId="11A7CD7C" w14:textId="77777777" w:rsidR="00C31BFD" w:rsidRPr="00061D24" w:rsidRDefault="00C31BFD" w:rsidP="009D500F">
      <w:pPr>
        <w:pStyle w:val="3names"/>
        <w:rPr>
          <w:color w:val="auto"/>
          <w:sz w:val="20"/>
          <w:szCs w:val="20"/>
          <w:lang w:val="fr-FR"/>
        </w:rPr>
      </w:pPr>
    </w:p>
    <w:p w14:paraId="6D82C185" w14:textId="5F06D321" w:rsidR="00C31BFD" w:rsidRPr="006E031A" w:rsidRDefault="0061097C" w:rsidP="009D500F">
      <w:pPr>
        <w:pStyle w:val="3names"/>
        <w:rPr>
          <w:color w:val="CF007E"/>
          <w:vertAlign w:val="superscript"/>
          <w:lang w:val="en-US"/>
        </w:rPr>
      </w:pPr>
      <w:r w:rsidRPr="006E031A">
        <w:rPr>
          <w:color w:val="CF007E"/>
          <w:lang w:val="en-US"/>
        </w:rPr>
        <w:t>Matthew W. McGauley</w:t>
      </w:r>
      <w:r w:rsidR="006E031A" w:rsidRPr="006E031A">
        <w:rPr>
          <w:color w:val="CF007E"/>
          <w:lang w:val="en-US"/>
        </w:rPr>
        <w:t xml:space="preserve"> and </w:t>
      </w:r>
      <w:r w:rsidRPr="006E031A">
        <w:rPr>
          <w:color w:val="CF007E"/>
          <w:lang w:val="en-US"/>
        </w:rPr>
        <w:t>Max Maurer</w:t>
      </w:r>
    </w:p>
    <w:p w14:paraId="4C47035A" w14:textId="77777777" w:rsidR="00DE20F1" w:rsidRPr="006E031A" w:rsidRDefault="00DE20F1" w:rsidP="00397B39">
      <w:pPr>
        <w:pStyle w:val="4organisme"/>
        <w:rPr>
          <w:rFonts w:cstheme="minorHAnsi"/>
          <w:lang w:val="en-US"/>
        </w:rPr>
      </w:pPr>
    </w:p>
    <w:p w14:paraId="5B586D3C" w14:textId="3F282BCC" w:rsidR="00DE20F1" w:rsidRPr="004B7F4F" w:rsidRDefault="004B7F4F" w:rsidP="00397B39">
      <w:pPr>
        <w:pStyle w:val="4organisme"/>
        <w:rPr>
          <w:rFonts w:cstheme="minorHAnsi"/>
          <w:lang w:val="en-GB"/>
        </w:rPr>
      </w:pPr>
      <w:r>
        <w:rPr>
          <w:rFonts w:cstheme="minorHAnsi"/>
          <w:lang w:val="en-GB"/>
        </w:rPr>
        <w:t>Swiss Federal Institute for Aquatic Science and Technology (</w:t>
      </w:r>
      <w:proofErr w:type="spellStart"/>
      <w:r>
        <w:rPr>
          <w:rFonts w:cstheme="minorHAnsi"/>
          <w:lang w:val="en-GB"/>
        </w:rPr>
        <w:t>Eawag</w:t>
      </w:r>
      <w:proofErr w:type="spellEnd"/>
      <w:r>
        <w:rPr>
          <w:rFonts w:cstheme="minorHAnsi"/>
          <w:lang w:val="en-GB"/>
        </w:rPr>
        <w:t>)</w:t>
      </w:r>
      <w:r w:rsidR="006E031A">
        <w:rPr>
          <w:rFonts w:cstheme="minorHAnsi"/>
          <w:lang w:val="en-GB"/>
        </w:rPr>
        <w:t xml:space="preserve"> and</w:t>
      </w:r>
      <w:r>
        <w:rPr>
          <w:rFonts w:cstheme="minorHAnsi"/>
          <w:lang w:val="en-GB"/>
        </w:rPr>
        <w:t xml:space="preserve"> Institute for Environmental Engineering (</w:t>
      </w:r>
      <w:proofErr w:type="spellStart"/>
      <w:r>
        <w:rPr>
          <w:rFonts w:cstheme="minorHAnsi"/>
          <w:lang w:val="en-GB"/>
        </w:rPr>
        <w:t>IfU</w:t>
      </w:r>
      <w:proofErr w:type="spellEnd"/>
      <w:r>
        <w:rPr>
          <w:rFonts w:cstheme="minorHAnsi"/>
          <w:lang w:val="en-GB"/>
        </w:rPr>
        <w:t>)</w:t>
      </w:r>
      <w:r w:rsidR="00F84111">
        <w:rPr>
          <w:rFonts w:cstheme="minorHAnsi"/>
          <w:lang w:val="en-GB"/>
        </w:rPr>
        <w:t>, ETH Zürich</w:t>
      </w:r>
      <w:r w:rsidR="00851822">
        <w:rPr>
          <w:rFonts w:cstheme="minorHAnsi"/>
          <w:lang w:val="en-GB"/>
        </w:rPr>
        <w:t xml:space="preserve">; </w:t>
      </w:r>
      <w:hyperlink r:id="rId8" w:history="1">
        <w:r w:rsidR="00851822" w:rsidRPr="00F50A2B">
          <w:rPr>
            <w:rStyle w:val="Hyperlink"/>
            <w:rFonts w:cstheme="minorHAnsi"/>
            <w:lang w:val="en-GB"/>
          </w:rPr>
          <w:t>matthew.mcgauley@eawag.ch</w:t>
        </w:r>
      </w:hyperlink>
      <w:r w:rsidR="00851822">
        <w:rPr>
          <w:rFonts w:cstheme="minorHAnsi"/>
          <w:lang w:val="en-GB"/>
        </w:rPr>
        <w:t xml:space="preserve">, </w:t>
      </w:r>
      <w:hyperlink r:id="rId9" w:history="1">
        <w:r w:rsidR="00851822" w:rsidRPr="00F50A2B">
          <w:rPr>
            <w:rStyle w:val="Hyperlink"/>
            <w:rFonts w:cstheme="minorHAnsi"/>
            <w:lang w:val="en-GB"/>
          </w:rPr>
          <w:t>max.maurer@eawag.ch</w:t>
        </w:r>
      </w:hyperlink>
      <w:r w:rsidR="00851822">
        <w:rPr>
          <w:rFonts w:cstheme="minorHAnsi"/>
          <w:lang w:val="en-GB"/>
        </w:rPr>
        <w:t xml:space="preserve"> </w:t>
      </w:r>
    </w:p>
    <w:p w14:paraId="6A6372F5" w14:textId="77777777" w:rsidR="00C31BFD" w:rsidRPr="00061D24" w:rsidRDefault="00C31BFD" w:rsidP="005667E5">
      <w:pPr>
        <w:rPr>
          <w:rFonts w:cstheme="minorHAnsi"/>
          <w:lang w:val="en-GB"/>
        </w:rPr>
      </w:pPr>
    </w:p>
    <w:p w14:paraId="043E0AE2" w14:textId="77777777" w:rsidR="00C31BFD" w:rsidRPr="00BD2E55" w:rsidRDefault="00C31BFD" w:rsidP="009D500F">
      <w:pPr>
        <w:pStyle w:val="Title"/>
        <w:rPr>
          <w:lang w:val="fr-CH"/>
        </w:rPr>
      </w:pPr>
      <w:r w:rsidRPr="00BD2E55">
        <w:rPr>
          <w:lang w:val="fr-CH"/>
        </w:rPr>
        <w:t>R</w:t>
      </w:r>
      <w:r w:rsidR="00023D54" w:rsidRPr="00BD2E55">
        <w:rPr>
          <w:lang w:val="fr-CH"/>
        </w:rPr>
        <w:t>É</w:t>
      </w:r>
      <w:r w:rsidRPr="00BD2E55">
        <w:rPr>
          <w:lang w:val="fr-CH"/>
        </w:rPr>
        <w:t>SUM</w:t>
      </w:r>
      <w:r w:rsidR="00023D54" w:rsidRPr="00BD2E55">
        <w:rPr>
          <w:lang w:val="fr-CH"/>
        </w:rPr>
        <w:t>É</w:t>
      </w:r>
    </w:p>
    <w:p w14:paraId="7AB47D11" w14:textId="2ACB62CC" w:rsidR="00C31BFD" w:rsidRPr="00B507FC" w:rsidRDefault="00B507FC" w:rsidP="00AA1C3A">
      <w:pPr>
        <w:spacing w:before="0"/>
        <w:rPr>
          <w:rFonts w:cstheme="minorHAnsi"/>
          <w:lang w:val="fr-CH"/>
        </w:rPr>
      </w:pPr>
      <w:r w:rsidRPr="00B507FC">
        <w:rPr>
          <w:rFonts w:cstheme="minorHAnsi"/>
          <w:lang w:val="fr-CH"/>
        </w:rPr>
        <w:t>L'eau potable est menacée par les déversements d'eaux usées unitaires (EUU). Les ingénieurs élaborent des modèles hydrodynamiques des bassins versants (par exemple, le modèle de gestion des eaux pluviales, SWMM) afin de quantifier la fréquence et l'ampleur de ces déversements. L'un des défis liés à l'élaboration de ces modèles réside dans leur calibration adéquate, afin que leurs résultats reflètent fidèlement les conditions réelles. Des capteurs (mesurant par exemple le débit ou la profondeur de l'eau) sont généralement installés dans le réseau d'assainissement pour corroborer les résultats du modèle par des mesures in situ. Ce travail propose une méthode permettant de déterminer l'emplacement optimal pour l'installation de ces capteurs, de sorte que les mesures réelles apportent un gain d'information maximal sur le fonctionnement du réseau d'assainissement. Deux analyses de sensibilité globales ont été réalisées sur un modèle de bassin versant dans la banlieue de Zurich, en Suisse, afin de déterminer quels exutoires du modèle présentaient la plus grande variation de volume total de déversement lorsque les bassins versants en amont étaient perturbés (modification de la couverture terrestre, du débit par temps sec et des paramètres d'infiltration). Les résultats préliminaires indiquent que le pourcentage le plus élevé de l'incertitude dans l'ensemble du modèle, qui représente une approximation du gain d'information potentiel lié à l'installation de capteurs, peut être attribué aux seules zones de drainage des égouts unitaires.</w:t>
      </w:r>
    </w:p>
    <w:p w14:paraId="4AE65FF6" w14:textId="77777777" w:rsidR="00C31BFD" w:rsidRPr="00B507FC" w:rsidRDefault="00C31BFD" w:rsidP="005667E5">
      <w:pPr>
        <w:rPr>
          <w:rFonts w:cstheme="minorHAnsi"/>
          <w:lang w:val="fr-CH"/>
        </w:rPr>
      </w:pPr>
    </w:p>
    <w:p w14:paraId="02FC3078" w14:textId="77777777" w:rsidR="00C31BFD" w:rsidRPr="00061D24" w:rsidRDefault="00C31BFD" w:rsidP="009D500F">
      <w:pPr>
        <w:pStyle w:val="Title"/>
        <w:rPr>
          <w:color w:val="00B6CF"/>
          <w:lang w:val="en-GB"/>
        </w:rPr>
      </w:pPr>
      <w:r w:rsidRPr="00061D24">
        <w:rPr>
          <w:color w:val="00B6CF"/>
          <w:lang w:val="en-GB"/>
        </w:rPr>
        <w:t>ABSTRACT</w:t>
      </w:r>
    </w:p>
    <w:p w14:paraId="3F21D22C" w14:textId="7B2C334E" w:rsidR="00C31BFD" w:rsidRPr="004B290B" w:rsidRDefault="00567739" w:rsidP="00CB3016">
      <w:pPr>
        <w:rPr>
          <w:rFonts w:cstheme="minorHAnsi"/>
          <w:lang w:val="en-GB"/>
        </w:rPr>
      </w:pPr>
      <w:r>
        <w:rPr>
          <w:rFonts w:cstheme="minorHAnsi"/>
          <w:lang w:val="en-GB"/>
        </w:rPr>
        <w:t xml:space="preserve">Clean, fresh water is threatened by combined sewer overflows (CSOs). </w:t>
      </w:r>
      <w:r w:rsidR="00457E2A">
        <w:rPr>
          <w:rFonts w:cstheme="minorHAnsi"/>
          <w:lang w:val="en-GB"/>
        </w:rPr>
        <w:t xml:space="preserve">Engineers develop hydrodynamic models of sewer catchments (e.g., Stormwater Management Model, SWMM) to </w:t>
      </w:r>
      <w:r w:rsidR="009331FE">
        <w:rPr>
          <w:rFonts w:cstheme="minorHAnsi"/>
          <w:lang w:val="en-GB"/>
        </w:rPr>
        <w:t xml:space="preserve">quantify the frequency and magnitude of CSOs. A challenge to the development of these models is adequate calibration, such that the model outputs accurately reflect </w:t>
      </w:r>
      <w:r w:rsidR="00AF14E0">
        <w:rPr>
          <w:rFonts w:cstheme="minorHAnsi"/>
          <w:lang w:val="en-GB"/>
        </w:rPr>
        <w:t xml:space="preserve">real world conditions. Sensors (e.g., those that measure water flow or depth) are typically installed in the sewer network to corroborate model outputs with </w:t>
      </w:r>
      <w:r w:rsidR="002F4ADF">
        <w:rPr>
          <w:rFonts w:cstheme="minorHAnsi"/>
          <w:lang w:val="en-GB"/>
        </w:rPr>
        <w:t>in-situ</w:t>
      </w:r>
      <w:r w:rsidR="00AF14E0">
        <w:rPr>
          <w:rFonts w:cstheme="minorHAnsi"/>
          <w:lang w:val="en-GB"/>
        </w:rPr>
        <w:t xml:space="preserve"> measurements.</w:t>
      </w:r>
      <w:r w:rsidR="002F4ADF">
        <w:rPr>
          <w:rFonts w:cstheme="minorHAnsi"/>
          <w:lang w:val="en-GB"/>
        </w:rPr>
        <w:t xml:space="preserve">  This work develop</w:t>
      </w:r>
      <w:r w:rsidR="00C1752A">
        <w:rPr>
          <w:rFonts w:cstheme="minorHAnsi"/>
          <w:lang w:val="en-GB"/>
        </w:rPr>
        <w:t>s</w:t>
      </w:r>
      <w:r w:rsidR="002F4ADF">
        <w:rPr>
          <w:rFonts w:cstheme="minorHAnsi"/>
          <w:lang w:val="en-GB"/>
        </w:rPr>
        <w:t xml:space="preserve"> a metho</w:t>
      </w:r>
      <w:r w:rsidR="00EF5EB6">
        <w:rPr>
          <w:rFonts w:cstheme="minorHAnsi"/>
          <w:lang w:val="en-GB"/>
        </w:rPr>
        <w:t>d</w:t>
      </w:r>
      <w:r w:rsidR="00C1752A">
        <w:rPr>
          <w:rFonts w:cstheme="minorHAnsi"/>
          <w:lang w:val="en-GB"/>
        </w:rPr>
        <w:t xml:space="preserve"> </w:t>
      </w:r>
      <w:r w:rsidR="00AC2A20">
        <w:rPr>
          <w:rFonts w:cstheme="minorHAnsi"/>
          <w:lang w:val="en-GB"/>
        </w:rPr>
        <w:t>to aid in</w:t>
      </w:r>
      <w:r w:rsidR="00EF5EB6">
        <w:rPr>
          <w:rFonts w:cstheme="minorHAnsi"/>
          <w:lang w:val="en-GB"/>
        </w:rPr>
        <w:t xml:space="preserve"> determining the most-impactful location for the installation of such sensors, such that real world measurements result in the largest information-gain about the function of the sewer network. Two global sensitivity analyses were </w:t>
      </w:r>
      <w:r w:rsidR="00566FFE">
        <w:rPr>
          <w:rFonts w:cstheme="minorHAnsi"/>
          <w:lang w:val="en-GB"/>
        </w:rPr>
        <w:t xml:space="preserve">performed on a sewer catchment model in a suburb of Zürich, Switzerland, </w:t>
      </w:r>
      <w:r w:rsidR="00FC52F9">
        <w:rPr>
          <w:rFonts w:cstheme="minorHAnsi"/>
          <w:lang w:val="en-GB"/>
        </w:rPr>
        <w:t xml:space="preserve">aimed at determining </w:t>
      </w:r>
      <w:r w:rsidR="00D92403">
        <w:rPr>
          <w:rFonts w:cstheme="minorHAnsi"/>
          <w:lang w:val="en-GB"/>
        </w:rPr>
        <w:t xml:space="preserve">which outfalls in the model had the largest change in </w:t>
      </w:r>
      <w:r w:rsidR="00FA2E42">
        <w:rPr>
          <w:rFonts w:cstheme="minorHAnsi"/>
          <w:lang w:val="en-GB"/>
        </w:rPr>
        <w:t xml:space="preserve">total outflow volume when the upstream catchments were perturbed (i.e., land cover, dry weather flow, and </w:t>
      </w:r>
      <w:r w:rsidR="009937B7">
        <w:rPr>
          <w:rFonts w:cstheme="minorHAnsi"/>
          <w:lang w:val="en-GB"/>
        </w:rPr>
        <w:t>infiltration parameters changed)</w:t>
      </w:r>
      <w:r w:rsidR="00566FFE">
        <w:rPr>
          <w:rFonts w:cstheme="minorHAnsi"/>
          <w:lang w:val="en-GB"/>
        </w:rPr>
        <w:t>.</w:t>
      </w:r>
      <w:r w:rsidR="00CB3016">
        <w:rPr>
          <w:rFonts w:cstheme="minorHAnsi"/>
          <w:lang w:val="en-GB"/>
        </w:rPr>
        <w:t xml:space="preserve"> Preliminary results indicate</w:t>
      </w:r>
      <w:r w:rsidR="00411693">
        <w:rPr>
          <w:rFonts w:cstheme="minorHAnsi"/>
          <w:lang w:val="en-GB"/>
        </w:rPr>
        <w:t>d</w:t>
      </w:r>
      <w:r w:rsidR="00CB3016">
        <w:rPr>
          <w:rFonts w:cstheme="minorHAnsi"/>
          <w:lang w:val="en-GB"/>
        </w:rPr>
        <w:t xml:space="preserve"> that the largest percentage of the uncertainty in the </w:t>
      </w:r>
      <w:r w:rsidR="00867E18">
        <w:rPr>
          <w:rFonts w:cstheme="minorHAnsi"/>
          <w:lang w:val="en-GB"/>
        </w:rPr>
        <w:t>entire</w:t>
      </w:r>
      <w:r w:rsidR="004F5EC0">
        <w:rPr>
          <w:rFonts w:cstheme="minorHAnsi"/>
          <w:lang w:val="en-GB"/>
        </w:rPr>
        <w:t xml:space="preserve"> model, a proxy for potential information gain from installing sensors, c</w:t>
      </w:r>
      <w:r w:rsidR="00411693">
        <w:rPr>
          <w:rFonts w:cstheme="minorHAnsi"/>
          <w:lang w:val="en-GB"/>
        </w:rPr>
        <w:t>ould</w:t>
      </w:r>
      <w:r w:rsidR="004F5EC0">
        <w:rPr>
          <w:rFonts w:cstheme="minorHAnsi"/>
          <w:lang w:val="en-GB"/>
        </w:rPr>
        <w:t xml:space="preserve"> </w:t>
      </w:r>
      <w:r w:rsidR="00D91AA8">
        <w:rPr>
          <w:rFonts w:cstheme="minorHAnsi"/>
          <w:lang w:val="en-GB"/>
        </w:rPr>
        <w:t xml:space="preserve">be attributed to the drainage areas of </w:t>
      </w:r>
      <w:r w:rsidR="00BA2429">
        <w:rPr>
          <w:rFonts w:cstheme="minorHAnsi"/>
          <w:lang w:val="en-GB"/>
        </w:rPr>
        <w:t>a</w:t>
      </w:r>
      <w:r w:rsidR="00D91AA8">
        <w:rPr>
          <w:rFonts w:cstheme="minorHAnsi"/>
          <w:lang w:val="en-GB"/>
        </w:rPr>
        <w:t xml:space="preserve"> combined sewer alone.</w:t>
      </w:r>
      <w:r w:rsidR="004F5EC0">
        <w:rPr>
          <w:rFonts w:cstheme="minorHAnsi"/>
          <w:lang w:val="en-GB"/>
        </w:rPr>
        <w:t xml:space="preserve"> </w:t>
      </w:r>
    </w:p>
    <w:p w14:paraId="0F88A62C" w14:textId="77777777" w:rsidR="00C31BFD" w:rsidRPr="004B290B" w:rsidRDefault="00C31BFD" w:rsidP="005667E5">
      <w:pPr>
        <w:rPr>
          <w:rFonts w:cstheme="minorHAnsi"/>
          <w:lang w:val="en-GB"/>
        </w:rPr>
      </w:pPr>
    </w:p>
    <w:p w14:paraId="085BA4B4" w14:textId="77777777" w:rsidR="00C31BFD" w:rsidRPr="00061D24" w:rsidRDefault="006A683B" w:rsidP="009D500F">
      <w:pPr>
        <w:pStyle w:val="Title"/>
        <w:rPr>
          <w:color w:val="auto"/>
          <w:lang w:val="en-GB"/>
        </w:rPr>
      </w:pPr>
      <w:r w:rsidRPr="00061D24">
        <w:rPr>
          <w:color w:val="auto"/>
          <w:lang w:val="en-GB"/>
        </w:rPr>
        <w:t>KEYWORDS</w:t>
      </w:r>
    </w:p>
    <w:p w14:paraId="3ECA4224" w14:textId="467E59D6" w:rsidR="006A683B" w:rsidRPr="00061D24" w:rsidRDefault="009937B7" w:rsidP="006A683B">
      <w:pPr>
        <w:rPr>
          <w:rFonts w:cstheme="minorHAnsi"/>
          <w:lang w:val="en-GB"/>
        </w:rPr>
      </w:pPr>
      <w:r>
        <w:rPr>
          <w:rFonts w:cstheme="minorHAnsi"/>
          <w:lang w:val="en-GB"/>
        </w:rPr>
        <w:t>Combined Sewer Overflows, Hydrodynamic Models, Sensitivity Analysis</w:t>
      </w:r>
      <w:r w:rsidR="00D91AA8">
        <w:rPr>
          <w:rFonts w:cstheme="minorHAnsi"/>
          <w:lang w:val="en-GB"/>
        </w:rPr>
        <w:t>.</w:t>
      </w:r>
    </w:p>
    <w:p w14:paraId="7058341E" w14:textId="6979CFF9" w:rsidR="00C31BFD" w:rsidRDefault="00AA1C3A" w:rsidP="009D500F">
      <w:pPr>
        <w:pStyle w:val="Heading1"/>
      </w:pPr>
      <w:r w:rsidRPr="00061D24">
        <w:rPr>
          <w:lang w:val="en-GB"/>
        </w:rPr>
        <w:br w:type="page"/>
      </w:r>
      <w:r w:rsidR="000A1C22">
        <w:lastRenderedPageBreak/>
        <w:t>Introduction</w:t>
      </w:r>
    </w:p>
    <w:p w14:paraId="0E06BDBB" w14:textId="71B35BC6" w:rsidR="005E5F2C" w:rsidRPr="008A394D" w:rsidRDefault="00B164E2" w:rsidP="008F1D7F">
      <w:pPr>
        <w:rPr>
          <w:lang w:val="en-US"/>
        </w:rPr>
      </w:pPr>
      <w:r>
        <w:rPr>
          <w:lang w:val="en-US"/>
        </w:rPr>
        <w:t xml:space="preserve">Engineers model combined sewers to understand the frequency and magnitude of </w:t>
      </w:r>
      <w:r w:rsidR="004610DF">
        <w:rPr>
          <w:lang w:val="en-US"/>
        </w:rPr>
        <w:t xml:space="preserve">harmful </w:t>
      </w:r>
      <w:r w:rsidR="008D17E6">
        <w:rPr>
          <w:lang w:val="en-US"/>
        </w:rPr>
        <w:t>Combined Sewer Overflows (CSOs)</w:t>
      </w:r>
      <w:r>
        <w:rPr>
          <w:lang w:val="en-US"/>
        </w:rPr>
        <w:t>, as well as build mitigation strategies to reduce their occu</w:t>
      </w:r>
      <w:r w:rsidR="008D17E6">
        <w:rPr>
          <w:lang w:val="en-US"/>
        </w:rPr>
        <w:t>rrence</w:t>
      </w:r>
      <w:r w:rsidR="004610DF">
        <w:rPr>
          <w:lang w:val="en-US"/>
        </w:rPr>
        <w:t xml:space="preserve"> </w:t>
      </w:r>
      <w:r w:rsidR="00BC636C">
        <w:rPr>
          <w:lang w:val="en-US"/>
        </w:rPr>
        <w:fldChar w:fldCharType="begin"/>
      </w:r>
      <w:r w:rsidR="00BC636C">
        <w:rPr>
          <w:lang w:val="en-US"/>
        </w:rPr>
        <w:instrText xml:space="preserve"> ADDIN ZOTERO_ITEM CSL_CITATION {"citationID":"hqXE8P25","properties":{"formattedCitation":"(Riechel et al. 2016)","plainCitation":"(Riechel et al. 2016)","noteIndex":0},"citationItems":[{"id":24,"uris":["http://zotero.org/users/18180912/items/2G8FG4AN"],"itemData":{"id":24,"type":"article-journal","abstract":"To support decision makers in planning effective combined sewer overflow (CSO) management strategies an integrated modelling and impact assessment approach has been developed and applied for a large urban area in Berlin, Germany. It consists of an urban drainage model, a river water quality model and a tool for the quantification of adverse dissolved oxygen (DO) conditions in the river, one of the main stressors for urban lowland rivers. The coupled model was calibrated successfully with average Nash-Sutcliffe-efficiencies for DO in the river of 0.61 and 0.70 for two validation years. Moreover, the whole range of observed DO concentrations after CSO down to 0 mg L−1 is simulated by the model. A local sensitivity analysis revealed that in the absence of CSO dissolved oxygen principally depends on phytoplankton dynamics. Regarding CSO impacts, it was shown that 97% of the observed DO deficit can be explained by the three processes (i) mixing of river water with CSO spill water poor in DO, (ii) reduced phytoplankton activity due to CSO-induced turbidity and (iii) degradation of organic matter by heterotrophic bacteria. As expected, process (iii) turned out to be the most important one. However depending on the time lag after CSO the other processes can become dominant. Given the different involved processes, we found that different mitigation schemes tested in a scenario analysis can reduce the occurrence of critical DO deficits in the river by 30–70%. Overall, the study demonstrates that integrated sewer-river-models can be set up to represent CSO impacts under complex urban conditions. However, a significant effort in monitoring and modelling is a requisite for achieving reliable results.","container-title":"Water Research","DOI":"10.1016/j.watres.2016.08.017","ISSN":"0043-1354","journalAbbreviation":"Water Research","page":"264-273","source":"ScienceDirect","title":"Impacts of combined sewer overflows on a large urban river – Understanding the effect of different management strategies","volume":"105","author":[{"family":"Riechel","given":"Mathias"},{"family":"Matzinger","given":"Andreas"},{"family":"Pawlowsky-Reusing","given":"Erika"},{"family":"Sonnenberg","given":"Hauke"},{"family":"Uldack","given":"Mathias"},{"family":"Heinzmann","given":"Bernd"},{"family":"Caradot","given":"Nicolas"},{"family":"Seggern","given":"Dörthe","non-dropping-particle":"von"},{"family":"Rouault","given":"Pascale"}],"issued":{"date-parts":[["2016",11,15]]}}}],"schema":"https://github.com/citation-style-language/schema/raw/master/csl-citation.json"} </w:instrText>
      </w:r>
      <w:r w:rsidR="00BC636C">
        <w:rPr>
          <w:lang w:val="en-US"/>
        </w:rPr>
        <w:fldChar w:fldCharType="separate"/>
      </w:r>
      <w:r w:rsidR="00BC636C" w:rsidRPr="009D6B73">
        <w:rPr>
          <w:rFonts w:ascii="Calibri" w:hAnsi="Calibri" w:cs="Calibri"/>
          <w:lang w:val="en-US"/>
        </w:rPr>
        <w:t>(Riechel et al. 2016)</w:t>
      </w:r>
      <w:r w:rsidR="00BC636C">
        <w:rPr>
          <w:lang w:val="en-US"/>
        </w:rPr>
        <w:fldChar w:fldCharType="end"/>
      </w:r>
      <w:r w:rsidR="00096774">
        <w:rPr>
          <w:lang w:val="en-US"/>
        </w:rPr>
        <w:t xml:space="preserve">. Previous studies have modeled sewersheds to assess </w:t>
      </w:r>
      <w:r w:rsidR="005B08FB">
        <w:rPr>
          <w:lang w:val="en-US"/>
        </w:rPr>
        <w:t>the impact that implementing blue-green infrastructure could have on reducing CSOs</w:t>
      </w:r>
      <w:r w:rsidR="00A02C75">
        <w:rPr>
          <w:lang w:val="en-US"/>
        </w:rPr>
        <w:t xml:space="preserve"> </w:t>
      </w:r>
      <w:r w:rsidR="00A02C75">
        <w:rPr>
          <w:lang w:val="en-US"/>
        </w:rPr>
        <w:fldChar w:fldCharType="begin"/>
      </w:r>
      <w:r w:rsidR="00A02C75">
        <w:rPr>
          <w:lang w:val="en-US"/>
        </w:rPr>
        <w:instrText xml:space="preserve"> ADDIN ZOTERO_ITEM CSL_CITATION {"citationID":"GaIIV2gL","properties":{"formattedCitation":"(Joshi et al. 2021; Rodriguez et al. 2024)","plainCitation":"(Joshi et al. 2021; Rodriguez et al. 2024)","noteIndex":0},"citationItems":[{"id":6,"uris":["http://zotero.org/users/18180912/items/S5RL8WL5"],"itemData":{"id":6,"type":"article-journal","abstract":"Sustainable urban drainage systems (SuDS) help in stormwater management by reducing runoff volume, increasing runoff concentration time and thereby improving the drainage system capacity. This study investigated the potential and cost-effectiveness of SuDS in reducing combined sewer overflows (CSOs). We simulated the performance of four SuDS techniques (bioretention cell, permeable pavement, rain barrel and green roof) at incremental levels of spatial coverage for a small urban catchment with a combined sewer system. We also used an Analytic Hierarchy Process (AHP) considering end-point CSO, land use, imperviousness, slope and elevation criteria to identify priority areas for SuDS deployment. Results showed that CSO volume attenuation ranged a maximum of 50–99% for the catchment, depending on the deployment strategy and underlying mechanisms of each technology. We also found that deployment of SuDS in AHP-selected sub-catchments improved CSO reduction only for rain barrels and green roofs, but not for bioretention cells and permeable pavements. SuDS were also a cost-effective retrofit option: for a 40% volume reduction, the SuDS cost, at most, 25% of the equivalent cost required for a large CSO tank. Outcomes of this study demonstrate the efficacy of SuDS in controlling CSOs, adding yet another tangible benefit to their increasingly recognised multi-functionality.","container-title":"Water Research","DOI":"10.1016/j.watres.2020.116780","ISSN":"0043-1354","journalAbbreviation":"Water Research","page":"116780","source":"ScienceDirect","title":"Not all SuDS are created equal: Impact of different approaches on combined sewer overflows","title-short":"Not all SuDS are created equal","volume":"191","author":[{"family":"Joshi","given":"Prabhat"},{"family":"Leitão","given":"Joao Paulo"},{"family":"Maurer","given":"Max"},{"family":"Bach","given":"Peter Marcus"}],"issued":{"date-parts":[["2021",3,1]]}}},{"id":3,"uris":["http://zotero.org/users/18180912/items/MGRFHUR5"],"itemData":{"id":3,"type":"article-journal","abstract":"Green stormwater infrastructure (GSI) is growing in popularity to reduce combined sewer overflows (CSOs) and hydrologic simulation models are a tool to assess their reduction potential. Given the numerous and interacting water flows that contribute to CSOs, such as evapotranspiration (ET) and groundwater (GW), these models should ideally account for them. However, due to the complexity, simplified models are often used, and it is currently unknown how these assumptions affect estimates of CSOs, GSI effectiveness, and ultimately planning guidance. This study evaluates the effect on estimates of CSOs and GSI effectiveness when different flows and hydrologic processes are neglected. We modified an existing EPA SWMM model of a combined sewer system in Switzerland to include ET, GW, and upstream inflows. Historical rainfall data over 30 years are used to assess volume and duration of CSOs with and without three types of GSI (bioretention basins, permeable pavements and green roofs). Results demonstrate that neglect of certain flows in modelling can alter CSO volumes from -15 % to 40 %. GSI effectiveness also varies considerably, resulting in differences in simulated percent of CSO volume reduced from 8 % to 35 %, depending on the GSI type and modeled flow or process. Representation of GW within models is particularly crucial when infiltrating GSI are present, as CSOs could increase in certain subcatchments due to higher GW levels from increased infiltration. When basing GSI planning decisions on modeled estimates of CSOs, all relevant hydrologic processes should be included to the extent possible, and uncertainty and assumptions should always be considered.","container-title":"Water Research","DOI":"10.1016/j.watres.2024.121284","ISSN":"0043-1354","journalAbbreviation":"Water Research","page":"121284","source":"ScienceDirect","title":"Do baseline assumptions alter the efficacy of green stormwater infrastructure to reduce combined sewer overflows?","volume":"253","author":[{"family":"Rodriguez","given":"Mayra"},{"family":"Cavadini","given":"Giovan Battista"},{"family":"Cook","given":"Lauren M."}],"issued":{"date-parts":[["2024",4,1]]}}}],"schema":"https://github.com/citation-style-language/schema/raw/master/csl-citation.json"} </w:instrText>
      </w:r>
      <w:r w:rsidR="00A02C75">
        <w:rPr>
          <w:lang w:val="en-US"/>
        </w:rPr>
        <w:fldChar w:fldCharType="separate"/>
      </w:r>
      <w:r w:rsidR="00A02C75" w:rsidRPr="00A02C75">
        <w:rPr>
          <w:rFonts w:ascii="Calibri" w:hAnsi="Calibri" w:cs="Calibri"/>
          <w:lang w:val="en-US"/>
        </w:rPr>
        <w:t>(Joshi et al. 2021; Rodriguez et al. 2024)</w:t>
      </w:r>
      <w:r w:rsidR="00A02C75">
        <w:rPr>
          <w:lang w:val="en-US"/>
        </w:rPr>
        <w:fldChar w:fldCharType="end"/>
      </w:r>
      <w:r w:rsidR="005B08FB">
        <w:rPr>
          <w:lang w:val="en-US"/>
        </w:rPr>
        <w:t>, which relied heavily on observations</w:t>
      </w:r>
      <w:r w:rsidR="009909ED">
        <w:rPr>
          <w:lang w:val="en-US"/>
        </w:rPr>
        <w:t xml:space="preserve"> from the sewer network</w:t>
      </w:r>
      <w:r w:rsidR="005B08FB">
        <w:rPr>
          <w:lang w:val="en-US"/>
        </w:rPr>
        <w:t xml:space="preserve"> to assure that the </w:t>
      </w:r>
      <w:r w:rsidR="009909ED">
        <w:rPr>
          <w:lang w:val="en-US"/>
        </w:rPr>
        <w:t>modeled scenarios</w:t>
      </w:r>
      <w:r w:rsidR="005B08FB">
        <w:rPr>
          <w:lang w:val="en-US"/>
        </w:rPr>
        <w:t xml:space="preserve"> were tran</w:t>
      </w:r>
      <w:r w:rsidR="00305CB9">
        <w:rPr>
          <w:lang w:val="en-US"/>
        </w:rPr>
        <w:t xml:space="preserve">sferable and represented </w:t>
      </w:r>
      <w:r w:rsidR="009909ED">
        <w:rPr>
          <w:lang w:val="en-US"/>
        </w:rPr>
        <w:t>real-world conditions</w:t>
      </w:r>
      <w:r w:rsidR="00BD0C5D">
        <w:rPr>
          <w:lang w:val="en-US"/>
        </w:rPr>
        <w:t xml:space="preserve"> </w:t>
      </w:r>
      <w:r w:rsidR="00C808DF">
        <w:rPr>
          <w:lang w:val="en-US"/>
        </w:rPr>
        <w:fldChar w:fldCharType="begin"/>
      </w:r>
      <w:r w:rsidR="00C808DF">
        <w:rPr>
          <w:lang w:val="en-US"/>
        </w:rPr>
        <w:instrText xml:space="preserve"> ADDIN ZOTERO_ITEM CSL_CITATION {"citationID":"5OP2vHXa","properties":{"formattedCitation":"(Blumensaat et al. 2025)","plainCitation":"(Blumensaat et al. 2025)","noteIndex":0},"citationItems":[{"id":17,"uris":["http://zotero.org/users/18180912/items/WNFJ5T7L"],"itemData":{"id":17,"type":"article-journal","abstract":"&lt;p&gt;&lt;strong class=\"journal-contentHeaderColor\"&gt;Abstract.&lt;/strong&gt; Urban drainage systems are integral infrastructural components. However, their monitoring poses considerable challenges owing to the intricate, hazardous nature of the process, necessitating substantial resources and expertise. These inherent uncertainties act as deterrents, discouraging active involvement of researchers and sewer operators in the rigorous monitoring and utilization of data for a comprehensive understanding and efficient management of drainage-related processes. Consequently, a notable absence of openly available urban drainage datasets hampers exploring their potential for engineering applications, scientific analysis, and societal benefits. In this study, we present a distinctive dataset from the Urban Water Observatory (UWO) in Fehraltorf, Switzerland. This dataset is unique in terms of its completeness, consistency, extensive observation period, high spatio-temporal resolution and its availability in the public domain. The dataset comprises coherent information from 124 sensors that observe rainfall-runoff processes, wastewater and in-sewer atmosphere temperatures. Of these 124 sensors, 89 transmit their signals via a specifically set-up wireless network using long-range, low-power transmission technologies. Sensor data have a temporal resolution of 1&amp;ndash;5 minutes and covers a period of three years from 2019&amp;ndash;2021. To make the data interpretable and re-useable we provide systematically collected meta-data, data on sewer infrastructure, associated geo-information including a validated hydrodynamic rainfall-runoff model. Basic data quality checks were performed, and we motivate future research on the dataset with five selected research opportunities from detecting anomalies in the data to assessing groundwater infiltration and the capability of the low-power data transmission. We conclude that robust automated data quality checks, standardized data exchange formats, and a systematic meta-data collection are needed to boost interpretability and usability of urban drainage data. In the future, ontologies and knowledge graphs should be developed to expand the application of sewer observation data in solving scientific and practical problems.&lt;/p&gt;","container-title":"Earth System Science Data Discussions","DOI":"10.5194/essd-2024-47","language":"English","note":"publisher: Copernicus GmbH","page":"1-31","source":"essd.copernicus.org","title":"The UWO dataset &amp;ndash; long-term observations from a full-scale field laboratory to better understand urban hydrology at small spatio-temporal scales","author":[{"family":"Blumensaat","given":"Frank"},{"family":"Bloem","given":"Simon"},{"family":"Ebi","given":"Christian"},{"family":"Disch","given":"Andy"},{"family":"Förster","given":"Christian"},{"family":"Maurer","given":"Max"},{"family":"Rodriguez","given":"Mayra"},{"family":"Rieckermann","given":"Jörg"}],"issued":{"date-parts":[["2025",1,2]]}}}],"schema":"https://github.com/citation-style-language/schema/raw/master/csl-citation.json"} </w:instrText>
      </w:r>
      <w:r w:rsidR="00C808DF">
        <w:rPr>
          <w:lang w:val="en-US"/>
        </w:rPr>
        <w:fldChar w:fldCharType="separate"/>
      </w:r>
      <w:r w:rsidR="00C808DF" w:rsidRPr="00203239">
        <w:rPr>
          <w:rFonts w:ascii="Calibri" w:hAnsi="Calibri" w:cs="Calibri"/>
          <w:lang w:val="en-US"/>
        </w:rPr>
        <w:t>(Blumensaat et al. 2025)</w:t>
      </w:r>
      <w:r w:rsidR="00C808DF">
        <w:rPr>
          <w:lang w:val="en-US"/>
        </w:rPr>
        <w:fldChar w:fldCharType="end"/>
      </w:r>
      <w:r w:rsidR="009909ED">
        <w:rPr>
          <w:lang w:val="en-US"/>
        </w:rPr>
        <w:t>.</w:t>
      </w:r>
      <w:r w:rsidR="00203239">
        <w:rPr>
          <w:lang w:val="en-US"/>
        </w:rPr>
        <w:t xml:space="preserve"> </w:t>
      </w:r>
      <w:r w:rsidR="009909ED">
        <w:rPr>
          <w:lang w:val="en-US"/>
        </w:rPr>
        <w:t>Determining the optimal monitoring locations can be challenging</w:t>
      </w:r>
      <w:r w:rsidR="005C3F26">
        <w:rPr>
          <w:lang w:val="en-US"/>
        </w:rPr>
        <w:t xml:space="preserve"> due to budget </w:t>
      </w:r>
      <w:r w:rsidR="00B62F08">
        <w:rPr>
          <w:lang w:val="en-US"/>
        </w:rPr>
        <w:t xml:space="preserve">and personnel </w:t>
      </w:r>
      <w:r w:rsidR="005C3F26">
        <w:rPr>
          <w:lang w:val="en-US"/>
        </w:rPr>
        <w:t>constraints</w:t>
      </w:r>
      <w:r w:rsidR="00B62F08">
        <w:rPr>
          <w:lang w:val="en-US"/>
        </w:rPr>
        <w:t xml:space="preserve">. </w:t>
      </w:r>
      <w:r w:rsidR="00F11121">
        <w:rPr>
          <w:lang w:val="en-US"/>
        </w:rPr>
        <w:t xml:space="preserve">Previous studies have noted that </w:t>
      </w:r>
      <w:r w:rsidR="00794143">
        <w:rPr>
          <w:lang w:val="en-US"/>
        </w:rPr>
        <w:t xml:space="preserve">sewer networks are comprised of collections of subsystems, </w:t>
      </w:r>
      <w:r w:rsidR="006E1F41">
        <w:rPr>
          <w:lang w:val="en-US"/>
        </w:rPr>
        <w:t>where the influence of specific elements can either be immediate or global</w:t>
      </w:r>
      <w:r w:rsidR="00A53096">
        <w:rPr>
          <w:lang w:val="en-US"/>
        </w:rPr>
        <w:t xml:space="preserve"> </w:t>
      </w:r>
      <w:r w:rsidR="00A53096">
        <w:rPr>
          <w:lang w:val="en-US"/>
        </w:rPr>
        <w:fldChar w:fldCharType="begin"/>
      </w:r>
      <w:r w:rsidR="00A53096">
        <w:rPr>
          <w:lang w:val="en-US"/>
        </w:rPr>
        <w:instrText xml:space="preserve"> ADDIN ZOTERO_ITEM CSL_CITATION {"citationID":"Ukza95xs","properties":{"formattedCitation":"(Meijer et al. 2018, 2023)","plainCitation":"(Meijer et al. 2018, 2023)","noteIndex":0},"citationItems":[{"id":21,"uris":["http://zotero.org/users/18180912/items/YRIZLCDX"],"itemData":{"id":21,"type":"article-journal","abstract":"Underground water infrastructure is essential for life in cities. The aging of these infrastructures requires maintenance strategies to maintain a minimum service level. Not all elements are equally important for the functioning of the infrastructure as a whole. Identifying the most critical elements in a network is crucial for formulating asset management strategies. The graph theory is presented as a means to identify the most critical elements in a network with respect to malfunctioning of the system as a whole. As opposed to conventional methods, the proposed method does not rely on iterative hydraulic calculations; instead, the structure of the network is taken as a starting point. In contrast to methods applied in practise, the results are independent on the chosen test-load. Because of the limited calculation effort, the method allows the analysis of large networks that are now, for practical reasons, beyond the scope of methods applied so-far.","container-title":"Water","DOI":"10.3390/w10020136","ISSN":"2073-4441","issue":"2","language":"en","license":"http://creativecommons.org/licenses/by/3.0/","note":"publisher: Multidisciplinary Digital Publishing Institute","page":"136","source":"www.mdpi.com","title":"Identifying Critical Elements in Sewer Networks Using Graph-Theory","volume":"10","author":[{"family":"Meijer","given":"Didrik"},{"family":"Van Bijnen","given":"Marco"},{"family":"Langeveld","given":"Jeroen"},{"family":"Korving","given":"Hans"},{"family":"Post","given":"Johan"},{"family":"Clemens","given":"François"}],"issued":{"date-parts":[["2018",2]]}}},{"id":19,"uris":["http://zotero.org/users/18180912/items/LVCF8UWI"],"itemData":{"id":19,"type":"article-journal","abstract":"Urban drainage systems are composed of subsystems. The ratio of the storage and discharge capacities of the subsystems determines the performance. The performance of the urban water system may deteriorate as a result of the change in the ratio of storage to discharge capacity due to aging, urbanisation and climate change. We developed the graph-based weakest link method (GBWLM) to analyse urban drainage systems. Flow path analysis from graph theory is applied instead of hydrodynamic model simulations to reduce the computational effort. This makes it practically feasible to analyse urban drainage systems with multi-decade rainfall series. We used the GBWLM to analyse the effect of urban water system aging and/or climate scenarios on flood extent and frequency. The case study shows that the results of the hydrodynamic models and the GBWLM are similar. The rainfall intensities of storm events are expected to increase by approximately 20% in the Netherlands due to climate change. For the case study, such an increase in load has little impact on the flood frequency and extent caused by gully pots and surface water. However, it could lead to a 50% increase in the storm sewer flood frequency and an increase in the extent of flooding.","container-title":"Water Science and Technology","DOI":"10.2166/wst.2023.057","ISSN":"0273-1223","issue":"5","journalAbbreviation":"Water Sci Technol","page":"1273-1293","source":"Silverchair","title":"A method to identify the weakest link in urban drainage systems","volume":"87","author":[{"family":"Meijer","given":"Didrik"},{"family":"Korving","given":"Hans"},{"family":"Langeveld","given":"Jeroen"},{"family":"Clemens-Meyer","given":"François"}],"issued":{"date-parts":[["2023",2,27]]}}}],"schema":"https://github.com/citation-style-language/schema/raw/master/csl-citation.json"} </w:instrText>
      </w:r>
      <w:r w:rsidR="00A53096">
        <w:rPr>
          <w:lang w:val="en-US"/>
        </w:rPr>
        <w:fldChar w:fldCharType="separate"/>
      </w:r>
      <w:r w:rsidR="00A53096" w:rsidRPr="000D4F2D">
        <w:rPr>
          <w:rFonts w:ascii="Calibri" w:hAnsi="Calibri" w:cs="Calibri"/>
          <w:lang w:val="en-US"/>
        </w:rPr>
        <w:t>(Meijer et al. 2018, 2023)</w:t>
      </w:r>
      <w:r w:rsidR="00A53096">
        <w:rPr>
          <w:lang w:val="en-US"/>
        </w:rPr>
        <w:fldChar w:fldCharType="end"/>
      </w:r>
      <w:r w:rsidR="006E1F41">
        <w:rPr>
          <w:lang w:val="en-US"/>
        </w:rPr>
        <w:t>.</w:t>
      </w:r>
      <w:r w:rsidR="0018708B">
        <w:rPr>
          <w:lang w:val="en-US"/>
        </w:rPr>
        <w:t xml:space="preserve"> </w:t>
      </w:r>
      <w:r w:rsidR="000D4F2D">
        <w:rPr>
          <w:lang w:val="en-US"/>
        </w:rPr>
        <w:t>Global sensitivity analyses</w:t>
      </w:r>
      <w:r w:rsidR="0009564F">
        <w:rPr>
          <w:lang w:val="en-US"/>
        </w:rPr>
        <w:t>, whic</w:t>
      </w:r>
      <w:r w:rsidR="006E6B1D">
        <w:rPr>
          <w:lang w:val="en-US"/>
        </w:rPr>
        <w:t xml:space="preserve">h are aimed to identify the individual and combined effects of model parameters on </w:t>
      </w:r>
      <w:r w:rsidR="00903A40">
        <w:rPr>
          <w:lang w:val="en-US"/>
        </w:rPr>
        <w:t>a</w:t>
      </w:r>
      <w:r w:rsidR="006E6B1D">
        <w:rPr>
          <w:lang w:val="en-US"/>
        </w:rPr>
        <w:t xml:space="preserve"> model’s overall uncertainty</w:t>
      </w:r>
      <w:r w:rsidR="000D4F2D">
        <w:rPr>
          <w:lang w:val="en-US"/>
        </w:rPr>
        <w:t>, could present a complimentary approach to defining the spatial importance of sewershed assets</w:t>
      </w:r>
      <w:r w:rsidR="0009564F">
        <w:rPr>
          <w:lang w:val="en-US"/>
        </w:rPr>
        <w:t>.</w:t>
      </w:r>
      <w:r w:rsidR="007F50F6">
        <w:rPr>
          <w:lang w:val="en-US"/>
        </w:rPr>
        <w:t xml:space="preserve"> It was hypothesized </w:t>
      </w:r>
      <w:r w:rsidR="00130FCD">
        <w:rPr>
          <w:lang w:val="en-US"/>
        </w:rPr>
        <w:t>that a sequential global sensitivity analysis</w:t>
      </w:r>
      <w:r w:rsidR="003C1E13">
        <w:rPr>
          <w:lang w:val="en-US"/>
        </w:rPr>
        <w:t>, where a Morris analysis would first isolate sensitive parameters and a Sobol analysis would use these parameters</w:t>
      </w:r>
      <w:r w:rsidR="001E43CD">
        <w:rPr>
          <w:lang w:val="en-US"/>
        </w:rPr>
        <w:t xml:space="preserve"> to quantify the uncertainty contributions from specific drainage zones, would provide a succinct methodology for identifying optimal monitoring locations for maximum information in the mode</w:t>
      </w:r>
      <w:r w:rsidR="00BD5DA1">
        <w:rPr>
          <w:lang w:val="en-US"/>
        </w:rPr>
        <w:t>l.</w:t>
      </w:r>
    </w:p>
    <w:p w14:paraId="74099940" w14:textId="66542E46" w:rsidR="00C31BFD" w:rsidRDefault="000A1C22" w:rsidP="009D500F">
      <w:pPr>
        <w:pStyle w:val="Heading1"/>
      </w:pPr>
      <w:r>
        <w:t>s</w:t>
      </w:r>
      <w:r w:rsidR="00B309B8">
        <w:t>ite and methods</w:t>
      </w:r>
    </w:p>
    <w:p w14:paraId="0A6EB49F" w14:textId="279C2EC6" w:rsidR="00B309B8" w:rsidRDefault="002D58F4" w:rsidP="00B309B8">
      <w:pPr>
        <w:pStyle w:val="Heading2"/>
      </w:pPr>
      <w:proofErr w:type="spellStart"/>
      <w:r>
        <w:t>Schaeflibach</w:t>
      </w:r>
      <w:proofErr w:type="spellEnd"/>
      <w:r>
        <w:t xml:space="preserve"> Rain Basin</w:t>
      </w:r>
      <w:r w:rsidR="00E0712B">
        <w:t xml:space="preserve"> Catchment</w:t>
      </w:r>
    </w:p>
    <w:p w14:paraId="56725E13" w14:textId="32740F69" w:rsidR="00C420ED" w:rsidRPr="00F503B4" w:rsidRDefault="0018708B" w:rsidP="00EF04EC">
      <w:pPr>
        <w:rPr>
          <w:rFonts w:cstheme="minorHAnsi"/>
          <w:lang w:val="en-GB"/>
        </w:rPr>
      </w:pPr>
      <w:r>
        <w:rPr>
          <w:noProof/>
          <w:lang w:val="en-US"/>
        </w:rPr>
        <w:drawing>
          <wp:anchor distT="0" distB="0" distL="114300" distR="114300" simplePos="0" relativeHeight="251658240" behindDoc="0" locked="0" layoutInCell="1" allowOverlap="1" wp14:anchorId="1ED9ED58" wp14:editId="51EBA817">
            <wp:simplePos x="0" y="0"/>
            <wp:positionH relativeFrom="margin">
              <wp:align>center</wp:align>
            </wp:positionH>
            <wp:positionV relativeFrom="paragraph">
              <wp:posOffset>1887855</wp:posOffset>
            </wp:positionV>
            <wp:extent cx="3383280" cy="2000992"/>
            <wp:effectExtent l="0" t="0" r="7620" b="0"/>
            <wp:wrapTopAndBottom/>
            <wp:docPr id="10639229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922980" name="Picture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383280" cy="2000992"/>
                    </a:xfrm>
                    <a:prstGeom prst="rect">
                      <a:avLst/>
                    </a:prstGeom>
                  </pic:spPr>
                </pic:pic>
              </a:graphicData>
            </a:graphic>
            <wp14:sizeRelH relativeFrom="page">
              <wp14:pctWidth>0</wp14:pctWidth>
            </wp14:sizeRelH>
            <wp14:sizeRelV relativeFrom="page">
              <wp14:pctHeight>0</wp14:pctHeight>
            </wp14:sizeRelV>
          </wp:anchor>
        </w:drawing>
      </w:r>
      <w:r w:rsidR="00C842E0" w:rsidRPr="00C842E0">
        <w:rPr>
          <w:lang w:val="en-US"/>
        </w:rPr>
        <w:t>The site studie</w:t>
      </w:r>
      <w:r w:rsidR="000F1507">
        <w:rPr>
          <w:lang w:val="en-US"/>
        </w:rPr>
        <w:t xml:space="preserve">d herein resides in a sewer catchment draining to </w:t>
      </w:r>
      <w:r w:rsidR="007D42CD">
        <w:rPr>
          <w:lang w:val="en-US"/>
        </w:rPr>
        <w:t xml:space="preserve">a rainwater basin in the city of </w:t>
      </w:r>
      <w:proofErr w:type="spellStart"/>
      <w:r w:rsidR="007D42CD">
        <w:rPr>
          <w:lang w:val="en-US"/>
        </w:rPr>
        <w:t>Dietikon</w:t>
      </w:r>
      <w:proofErr w:type="spellEnd"/>
      <w:r w:rsidR="007D42CD">
        <w:rPr>
          <w:lang w:val="en-US"/>
        </w:rPr>
        <w:t xml:space="preserve">, Switzerland, a suburb of </w:t>
      </w:r>
      <w:r w:rsidR="007D42CD">
        <w:rPr>
          <w:rFonts w:cstheme="minorHAnsi"/>
          <w:lang w:val="en-GB"/>
        </w:rPr>
        <w:t>Zürich</w:t>
      </w:r>
      <w:r w:rsidR="00F434C4">
        <w:rPr>
          <w:rFonts w:cstheme="minorHAnsi"/>
          <w:lang w:val="en-GB"/>
        </w:rPr>
        <w:t>.</w:t>
      </w:r>
      <w:r w:rsidR="0041327B">
        <w:rPr>
          <w:rFonts w:cstheme="minorHAnsi"/>
          <w:lang w:val="en-GB"/>
        </w:rPr>
        <w:t xml:space="preserve"> </w:t>
      </w:r>
      <w:r w:rsidR="00CB6363">
        <w:rPr>
          <w:rFonts w:cstheme="minorHAnsi"/>
          <w:lang w:val="en-GB"/>
        </w:rPr>
        <w:t>Three outfalls</w:t>
      </w:r>
      <w:r w:rsidR="00860F8B">
        <w:rPr>
          <w:rFonts w:cstheme="minorHAnsi"/>
          <w:lang w:val="en-GB"/>
        </w:rPr>
        <w:t xml:space="preserve"> (8744.00, 4942.00A, and 7503.01</w:t>
      </w:r>
      <w:r w:rsidR="00B16A5A">
        <w:rPr>
          <w:rFonts w:cstheme="minorHAnsi"/>
          <w:lang w:val="en-GB"/>
        </w:rPr>
        <w:t xml:space="preserve"> in </w:t>
      </w:r>
      <w:r w:rsidR="00B16A5A">
        <w:rPr>
          <w:lang w:val="en-US"/>
        </w:rPr>
        <w:fldChar w:fldCharType="begin"/>
      </w:r>
      <w:r w:rsidR="00B16A5A">
        <w:rPr>
          <w:lang w:val="en-US"/>
        </w:rPr>
        <w:instrText xml:space="preserve"> REF _Ref215646409 \h </w:instrText>
      </w:r>
      <w:r w:rsidR="00B16A5A">
        <w:rPr>
          <w:lang w:val="en-US"/>
        </w:rPr>
      </w:r>
      <w:r w:rsidR="00B16A5A">
        <w:rPr>
          <w:lang w:val="en-US"/>
        </w:rPr>
        <w:fldChar w:fldCharType="separate"/>
      </w:r>
      <w:r w:rsidR="00B16A5A" w:rsidRPr="00146B15">
        <w:rPr>
          <w:lang w:val="en-US"/>
        </w:rPr>
        <w:t>Figure 1</w:t>
      </w:r>
      <w:r w:rsidR="00B16A5A">
        <w:rPr>
          <w:lang w:val="en-US"/>
        </w:rPr>
        <w:fldChar w:fldCharType="end"/>
      </w:r>
      <w:r w:rsidR="00860F8B">
        <w:rPr>
          <w:rFonts w:cstheme="minorHAnsi"/>
          <w:lang w:val="en-GB"/>
        </w:rPr>
        <w:t>)</w:t>
      </w:r>
      <w:r w:rsidR="00CB6363">
        <w:rPr>
          <w:rFonts w:cstheme="minorHAnsi"/>
          <w:lang w:val="en-GB"/>
        </w:rPr>
        <w:t xml:space="preserve"> in the system discharge</w:t>
      </w:r>
      <w:r w:rsidR="00625DE6">
        <w:rPr>
          <w:rFonts w:cstheme="minorHAnsi"/>
          <w:lang w:val="en-GB"/>
        </w:rPr>
        <w:t>d</w:t>
      </w:r>
      <w:r w:rsidR="00CB6363">
        <w:rPr>
          <w:rFonts w:cstheme="minorHAnsi"/>
          <w:lang w:val="en-GB"/>
        </w:rPr>
        <w:t xml:space="preserve"> rainwater to the </w:t>
      </w:r>
      <w:proofErr w:type="spellStart"/>
      <w:r w:rsidR="00CB6363">
        <w:rPr>
          <w:rFonts w:cstheme="minorHAnsi"/>
          <w:lang w:val="en-GB"/>
        </w:rPr>
        <w:t>Schaeflibach</w:t>
      </w:r>
      <w:proofErr w:type="spellEnd"/>
      <w:r w:rsidR="00CB6363">
        <w:rPr>
          <w:rFonts w:cstheme="minorHAnsi"/>
          <w:lang w:val="en-GB"/>
        </w:rPr>
        <w:t xml:space="preserve"> river. </w:t>
      </w:r>
      <w:r w:rsidR="0041327B">
        <w:rPr>
          <w:rFonts w:cstheme="minorHAnsi"/>
          <w:lang w:val="en-GB"/>
        </w:rPr>
        <w:t>An outfall of t</w:t>
      </w:r>
      <w:r w:rsidR="00023E55">
        <w:rPr>
          <w:rFonts w:cstheme="minorHAnsi"/>
          <w:lang w:val="en-GB"/>
        </w:rPr>
        <w:t>he combined sewer system</w:t>
      </w:r>
      <w:r w:rsidR="0096170A">
        <w:rPr>
          <w:rFonts w:cstheme="minorHAnsi"/>
          <w:lang w:val="en-GB"/>
        </w:rPr>
        <w:t xml:space="preserve"> (A</w:t>
      </w:r>
      <w:r w:rsidR="00860F8B">
        <w:rPr>
          <w:rFonts w:cstheme="minorHAnsi"/>
          <w:lang w:val="en-GB"/>
        </w:rPr>
        <w:t>9862.01</w:t>
      </w:r>
      <w:r w:rsidR="00B16A5A">
        <w:rPr>
          <w:rFonts w:cstheme="minorHAnsi"/>
          <w:lang w:val="en-GB"/>
        </w:rPr>
        <w:t xml:space="preserve"> in</w:t>
      </w:r>
      <w:r w:rsidR="00860F8B">
        <w:rPr>
          <w:rFonts w:cstheme="minorHAnsi"/>
          <w:lang w:val="en-GB"/>
        </w:rPr>
        <w:t xml:space="preserve"> </w:t>
      </w:r>
      <w:r w:rsidR="0096170A">
        <w:rPr>
          <w:lang w:val="en-US"/>
        </w:rPr>
        <w:fldChar w:fldCharType="begin"/>
      </w:r>
      <w:r w:rsidR="0096170A">
        <w:rPr>
          <w:lang w:val="en-US"/>
        </w:rPr>
        <w:instrText xml:space="preserve"> REF _Ref215646409 \h </w:instrText>
      </w:r>
      <w:r w:rsidR="0096170A">
        <w:rPr>
          <w:lang w:val="en-US"/>
        </w:rPr>
      </w:r>
      <w:r w:rsidR="0096170A">
        <w:rPr>
          <w:lang w:val="en-US"/>
        </w:rPr>
        <w:fldChar w:fldCharType="separate"/>
      </w:r>
      <w:r w:rsidR="0096170A" w:rsidRPr="00146B15">
        <w:rPr>
          <w:lang w:val="en-US"/>
        </w:rPr>
        <w:t>Figure 1</w:t>
      </w:r>
      <w:r w:rsidR="0096170A">
        <w:rPr>
          <w:lang w:val="en-US"/>
        </w:rPr>
        <w:fldChar w:fldCharType="end"/>
      </w:r>
      <w:r w:rsidR="0096170A">
        <w:rPr>
          <w:rFonts w:cstheme="minorHAnsi"/>
          <w:lang w:val="en-GB"/>
        </w:rPr>
        <w:t>)</w:t>
      </w:r>
      <w:r w:rsidR="00023E55">
        <w:rPr>
          <w:rFonts w:cstheme="minorHAnsi"/>
          <w:lang w:val="en-GB"/>
        </w:rPr>
        <w:t xml:space="preserve"> discharge</w:t>
      </w:r>
      <w:r w:rsidR="00625DE6">
        <w:rPr>
          <w:rFonts w:cstheme="minorHAnsi"/>
          <w:lang w:val="en-GB"/>
        </w:rPr>
        <w:t>d</w:t>
      </w:r>
      <w:r w:rsidR="00023E55">
        <w:rPr>
          <w:rFonts w:cstheme="minorHAnsi"/>
          <w:lang w:val="en-GB"/>
        </w:rPr>
        <w:t xml:space="preserve"> to the </w:t>
      </w:r>
      <w:proofErr w:type="spellStart"/>
      <w:r w:rsidR="00023E55">
        <w:rPr>
          <w:rFonts w:cstheme="minorHAnsi"/>
          <w:lang w:val="en-GB"/>
        </w:rPr>
        <w:t>Schaeflibach</w:t>
      </w:r>
      <w:proofErr w:type="spellEnd"/>
      <w:r w:rsidR="00023E55">
        <w:rPr>
          <w:rFonts w:cstheme="minorHAnsi"/>
          <w:lang w:val="en-GB"/>
        </w:rPr>
        <w:t xml:space="preserve"> under high-flow conditions but otherwise drain</w:t>
      </w:r>
      <w:r w:rsidR="00625DE6">
        <w:rPr>
          <w:rFonts w:cstheme="minorHAnsi"/>
          <w:lang w:val="en-GB"/>
        </w:rPr>
        <w:t>ed</w:t>
      </w:r>
      <w:r w:rsidR="00023E55">
        <w:rPr>
          <w:rFonts w:cstheme="minorHAnsi"/>
          <w:lang w:val="en-GB"/>
        </w:rPr>
        <w:t xml:space="preserve"> to the main sewer </w:t>
      </w:r>
      <w:r w:rsidR="004A1C82">
        <w:rPr>
          <w:rFonts w:cstheme="minorHAnsi"/>
          <w:lang w:val="en-GB"/>
        </w:rPr>
        <w:t>canal</w:t>
      </w:r>
      <w:r w:rsidR="00014170">
        <w:rPr>
          <w:rFonts w:cstheme="minorHAnsi"/>
          <w:lang w:val="en-GB"/>
        </w:rPr>
        <w:t xml:space="preserve"> (VK_1032 in </w:t>
      </w:r>
      <w:r w:rsidR="00014170">
        <w:rPr>
          <w:lang w:val="en-US"/>
        </w:rPr>
        <w:fldChar w:fldCharType="begin"/>
      </w:r>
      <w:r w:rsidR="00014170">
        <w:rPr>
          <w:lang w:val="en-US"/>
        </w:rPr>
        <w:instrText xml:space="preserve"> REF _Ref215646409 \h </w:instrText>
      </w:r>
      <w:r w:rsidR="00014170">
        <w:rPr>
          <w:lang w:val="en-US"/>
        </w:rPr>
      </w:r>
      <w:r w:rsidR="00014170">
        <w:rPr>
          <w:lang w:val="en-US"/>
        </w:rPr>
        <w:fldChar w:fldCharType="separate"/>
      </w:r>
      <w:r w:rsidR="00014170" w:rsidRPr="00146B15">
        <w:rPr>
          <w:lang w:val="en-US"/>
        </w:rPr>
        <w:t>Figure 1</w:t>
      </w:r>
      <w:r w:rsidR="00014170">
        <w:rPr>
          <w:lang w:val="en-US"/>
        </w:rPr>
        <w:fldChar w:fldCharType="end"/>
      </w:r>
      <w:r w:rsidR="00014170">
        <w:rPr>
          <w:rFonts w:cstheme="minorHAnsi"/>
          <w:lang w:val="en-GB"/>
        </w:rPr>
        <w:t xml:space="preserve">) </w:t>
      </w:r>
      <w:r w:rsidR="00023E55">
        <w:rPr>
          <w:rFonts w:cstheme="minorHAnsi"/>
          <w:lang w:val="en-GB"/>
        </w:rPr>
        <w:t xml:space="preserve"> that is conveyed to </w:t>
      </w:r>
      <w:r w:rsidR="00E17A05">
        <w:rPr>
          <w:rFonts w:cstheme="minorHAnsi"/>
          <w:lang w:val="en-GB"/>
        </w:rPr>
        <w:t>a</w:t>
      </w:r>
      <w:r w:rsidR="00023E55">
        <w:rPr>
          <w:rFonts w:cstheme="minorHAnsi"/>
          <w:lang w:val="en-GB"/>
        </w:rPr>
        <w:t xml:space="preserve"> wastewater treatment plant.</w:t>
      </w:r>
      <w:r w:rsidR="00E14989">
        <w:rPr>
          <w:rFonts w:cstheme="minorHAnsi"/>
          <w:lang w:val="en-GB"/>
        </w:rPr>
        <w:t xml:space="preserve"> </w:t>
      </w:r>
      <w:r w:rsidR="00DB743B" w:rsidRPr="00DB743B">
        <w:rPr>
          <w:lang w:val="en-US"/>
        </w:rPr>
        <w:t>A Stormwater Management Model (S</w:t>
      </w:r>
      <w:r w:rsidR="00DB743B">
        <w:rPr>
          <w:lang w:val="en-US"/>
        </w:rPr>
        <w:t xml:space="preserve">WMM) for the catchment was developed </w:t>
      </w:r>
      <w:r w:rsidR="00483320">
        <w:rPr>
          <w:lang w:val="en-US"/>
        </w:rPr>
        <w:t>(</w:t>
      </w:r>
      <w:r w:rsidR="00483320">
        <w:rPr>
          <w:lang w:val="en-US"/>
        </w:rPr>
        <w:fldChar w:fldCharType="begin"/>
      </w:r>
      <w:r w:rsidR="00483320">
        <w:rPr>
          <w:lang w:val="en-US"/>
        </w:rPr>
        <w:instrText xml:space="preserve"> REF _Ref215646409 \h </w:instrText>
      </w:r>
      <w:r w:rsidR="00483320">
        <w:rPr>
          <w:lang w:val="en-US"/>
        </w:rPr>
      </w:r>
      <w:r w:rsidR="00483320">
        <w:rPr>
          <w:lang w:val="en-US"/>
        </w:rPr>
        <w:fldChar w:fldCharType="separate"/>
      </w:r>
      <w:r w:rsidR="00483320" w:rsidRPr="00146B15">
        <w:rPr>
          <w:lang w:val="en-US"/>
        </w:rPr>
        <w:t>Figure 1</w:t>
      </w:r>
      <w:r w:rsidR="00483320">
        <w:rPr>
          <w:lang w:val="en-US"/>
        </w:rPr>
        <w:fldChar w:fldCharType="end"/>
      </w:r>
      <w:r w:rsidR="00483320">
        <w:rPr>
          <w:lang w:val="en-US"/>
        </w:rPr>
        <w:t>)</w:t>
      </w:r>
      <w:r w:rsidR="00DB743B">
        <w:rPr>
          <w:lang w:val="en-US"/>
        </w:rPr>
        <w:t>.</w:t>
      </w:r>
      <w:r w:rsidR="00AB50A2">
        <w:rPr>
          <w:lang w:val="en-US"/>
        </w:rPr>
        <w:t xml:space="preserve"> The total modeled area covers</w:t>
      </w:r>
      <w:r w:rsidR="009266FA">
        <w:rPr>
          <w:lang w:val="en-US"/>
        </w:rPr>
        <w:t xml:space="preserve"> </w:t>
      </w:r>
      <w:r w:rsidR="005825D0">
        <w:rPr>
          <w:lang w:val="en-US"/>
        </w:rPr>
        <w:t>38</w:t>
      </w:r>
      <w:r w:rsidR="00AB50A2">
        <w:rPr>
          <w:lang w:val="en-US"/>
        </w:rPr>
        <w:t xml:space="preserve"> he</w:t>
      </w:r>
      <w:r w:rsidR="002C7927">
        <w:rPr>
          <w:lang w:val="en-US"/>
        </w:rPr>
        <w:t>ctares across 209 subcatchments.</w:t>
      </w:r>
      <w:r w:rsidR="004C3948">
        <w:rPr>
          <w:lang w:val="en-US"/>
        </w:rPr>
        <w:t xml:space="preserve"> </w:t>
      </w:r>
      <w:r w:rsidR="00C03DC7">
        <w:rPr>
          <w:lang w:val="en-US"/>
        </w:rPr>
        <w:t xml:space="preserve">The subcatchments were assigned to unique drainage zones, tracing to the </w:t>
      </w:r>
      <w:proofErr w:type="spellStart"/>
      <w:r w:rsidR="00C03DC7">
        <w:rPr>
          <w:lang w:val="en-US"/>
        </w:rPr>
        <w:t>subcatchment’s</w:t>
      </w:r>
      <w:proofErr w:type="spellEnd"/>
      <w:r w:rsidR="00C03DC7">
        <w:rPr>
          <w:lang w:val="en-US"/>
        </w:rPr>
        <w:t xml:space="preserve"> terminal outfall node. In the case of combined sewer systems, combined, multi-outfall zones were additionally created. This was performed such that the uncertainty attributed to a single subcatchment was not attributed to any single outfall in the combined system. </w:t>
      </w:r>
      <w:r w:rsidR="00FF58A8">
        <w:rPr>
          <w:lang w:val="en-US"/>
        </w:rPr>
        <w:t>A six-month period</w:t>
      </w:r>
      <w:r w:rsidR="00E17A05">
        <w:rPr>
          <w:lang w:val="en-US"/>
        </w:rPr>
        <w:t xml:space="preserve"> of rainfall</w:t>
      </w:r>
      <w:r w:rsidR="00FF58A8">
        <w:rPr>
          <w:lang w:val="en-US"/>
        </w:rPr>
        <w:t xml:space="preserve"> </w:t>
      </w:r>
      <w:r w:rsidR="00E17A05">
        <w:rPr>
          <w:lang w:val="en-US"/>
        </w:rPr>
        <w:t xml:space="preserve">spanning </w:t>
      </w:r>
      <w:r w:rsidR="00FF58A8">
        <w:rPr>
          <w:lang w:val="en-US"/>
        </w:rPr>
        <w:t xml:space="preserve">January </w:t>
      </w:r>
      <w:r w:rsidR="00F63E4E">
        <w:rPr>
          <w:lang w:val="en-US"/>
        </w:rPr>
        <w:t>to</w:t>
      </w:r>
      <w:r w:rsidR="00FF58A8">
        <w:rPr>
          <w:lang w:val="en-US"/>
        </w:rPr>
        <w:t xml:space="preserve"> </w:t>
      </w:r>
      <w:r w:rsidR="00E17A05">
        <w:rPr>
          <w:lang w:val="en-US"/>
        </w:rPr>
        <w:t>July</w:t>
      </w:r>
      <w:r w:rsidR="00FF58A8">
        <w:rPr>
          <w:lang w:val="en-US"/>
        </w:rPr>
        <w:t xml:space="preserve"> 2017 was simulated.</w:t>
      </w:r>
    </w:p>
    <w:p w14:paraId="0B2C4C1B" w14:textId="24A270EB" w:rsidR="00633760" w:rsidRPr="00146B15" w:rsidRDefault="0069786A" w:rsidP="005C2924">
      <w:pPr>
        <w:pStyle w:val="Caption"/>
        <w:rPr>
          <w:lang w:val="en-US"/>
        </w:rPr>
      </w:pPr>
      <w:bookmarkStart w:id="0" w:name="_Ref215646409"/>
      <w:r w:rsidRPr="00146B15">
        <w:rPr>
          <w:lang w:val="en-US"/>
        </w:rPr>
        <w:t xml:space="preserve">Figure </w:t>
      </w:r>
      <w:r w:rsidRPr="005C2924">
        <w:fldChar w:fldCharType="begin"/>
      </w:r>
      <w:r w:rsidRPr="00146B15">
        <w:rPr>
          <w:lang w:val="en-US"/>
        </w:rPr>
        <w:instrText xml:space="preserve"> SEQ Figure \* ARABIC </w:instrText>
      </w:r>
      <w:r w:rsidRPr="005C2924">
        <w:fldChar w:fldCharType="separate"/>
      </w:r>
      <w:r w:rsidR="00B93034">
        <w:rPr>
          <w:noProof/>
          <w:lang w:val="en-US"/>
        </w:rPr>
        <w:t>1</w:t>
      </w:r>
      <w:r w:rsidRPr="005C2924">
        <w:fldChar w:fldCharType="end"/>
      </w:r>
      <w:bookmarkEnd w:id="0"/>
      <w:r w:rsidR="00146B15" w:rsidRPr="00146B15">
        <w:rPr>
          <w:lang w:val="en-US"/>
        </w:rPr>
        <w:t xml:space="preserve"> Map of the </w:t>
      </w:r>
      <w:proofErr w:type="spellStart"/>
      <w:r w:rsidR="00146B15" w:rsidRPr="00146B15">
        <w:rPr>
          <w:lang w:val="en-US"/>
        </w:rPr>
        <w:t>S</w:t>
      </w:r>
      <w:r w:rsidR="00146B15">
        <w:rPr>
          <w:lang w:val="en-US"/>
        </w:rPr>
        <w:t>chaeflibach</w:t>
      </w:r>
      <w:proofErr w:type="spellEnd"/>
      <w:r w:rsidR="00146B15">
        <w:rPr>
          <w:lang w:val="en-US"/>
        </w:rPr>
        <w:t xml:space="preserve"> rain basin catchment area. Colored “X” markers indicate the outfalls in the model. Subcatchments have been color for the</w:t>
      </w:r>
      <w:r w:rsidR="00A50C9E">
        <w:rPr>
          <w:lang w:val="en-US"/>
        </w:rPr>
        <w:t xml:space="preserve"> “Drainage Zone”, tracing </w:t>
      </w:r>
      <w:r w:rsidR="009A5297">
        <w:rPr>
          <w:lang w:val="en-US"/>
        </w:rPr>
        <w:t>to their terminal outfall.</w:t>
      </w:r>
    </w:p>
    <w:p w14:paraId="0D8B3B16" w14:textId="19464CF2" w:rsidR="002D58F4" w:rsidRDefault="00232361" w:rsidP="002D58F4">
      <w:pPr>
        <w:pStyle w:val="Heading2"/>
      </w:pPr>
      <w:r>
        <w:t xml:space="preserve">Global </w:t>
      </w:r>
      <w:proofErr w:type="spellStart"/>
      <w:r>
        <w:t>Sensitivity</w:t>
      </w:r>
      <w:proofErr w:type="spellEnd"/>
      <w:r>
        <w:t xml:space="preserve"> </w:t>
      </w:r>
      <w:proofErr w:type="spellStart"/>
      <w:r>
        <w:t>Analys</w:t>
      </w:r>
      <w:r w:rsidR="00904C1C">
        <w:t>i</w:t>
      </w:r>
      <w:r>
        <w:t>s</w:t>
      </w:r>
      <w:proofErr w:type="spellEnd"/>
    </w:p>
    <w:p w14:paraId="37E1F75C" w14:textId="1BEC7694" w:rsidR="0007213E" w:rsidRDefault="00FE44BB" w:rsidP="00BF7D44">
      <w:pPr>
        <w:rPr>
          <w:lang w:val="en-US"/>
        </w:rPr>
      </w:pPr>
      <w:r w:rsidRPr="00FE44BB">
        <w:rPr>
          <w:lang w:val="en-US"/>
        </w:rPr>
        <w:t xml:space="preserve">A </w:t>
      </w:r>
      <w:r>
        <w:rPr>
          <w:lang w:val="en-US"/>
        </w:rPr>
        <w:t>Morris screening was performed to determine the subcatchment (</w:t>
      </w:r>
      <w:r w:rsidR="004346C7">
        <w:rPr>
          <w:lang w:val="en-US"/>
        </w:rPr>
        <w:t>catchment width, slope, impervious</w:t>
      </w:r>
      <w:r w:rsidR="005018E6">
        <w:rPr>
          <w:lang w:val="en-US"/>
        </w:rPr>
        <w:t>)</w:t>
      </w:r>
      <w:r w:rsidR="00527BD5">
        <w:rPr>
          <w:lang w:val="en-US"/>
        </w:rPr>
        <w:t xml:space="preserve">, depression storage (pervious/impervious </w:t>
      </w:r>
      <w:r w:rsidR="004346C7">
        <w:rPr>
          <w:lang w:val="en-US"/>
        </w:rPr>
        <w:t>depression s</w:t>
      </w:r>
      <w:r w:rsidR="00527BD5">
        <w:rPr>
          <w:lang w:val="en-US"/>
        </w:rPr>
        <w:t>torage depth</w:t>
      </w:r>
      <w:r w:rsidR="00993447">
        <w:rPr>
          <w:lang w:val="en-US"/>
        </w:rPr>
        <w:t xml:space="preserve"> and percentage with no depression storag</w:t>
      </w:r>
      <w:r w:rsidR="00DD5F2E">
        <w:rPr>
          <w:lang w:val="en-US"/>
        </w:rPr>
        <w:t>e),</w:t>
      </w:r>
      <w:r w:rsidR="00993447">
        <w:rPr>
          <w:lang w:val="en-US"/>
        </w:rPr>
        <w:t xml:space="preserve"> dry weather </w:t>
      </w:r>
      <w:r w:rsidR="006D055D">
        <w:rPr>
          <w:lang w:val="en-US"/>
        </w:rPr>
        <w:t>(</w:t>
      </w:r>
      <w:r w:rsidR="00544B3C">
        <w:rPr>
          <w:lang w:val="en-US"/>
        </w:rPr>
        <w:t xml:space="preserve">inflow </w:t>
      </w:r>
      <w:r w:rsidR="000077EB">
        <w:rPr>
          <w:lang w:val="en-US"/>
        </w:rPr>
        <w:t>rate</w:t>
      </w:r>
      <w:r w:rsidR="006D055D">
        <w:rPr>
          <w:lang w:val="en-US"/>
        </w:rPr>
        <w:t>)</w:t>
      </w:r>
      <w:r w:rsidR="000077EB">
        <w:rPr>
          <w:lang w:val="en-US"/>
        </w:rPr>
        <w:t>,</w:t>
      </w:r>
      <w:r w:rsidR="00993447">
        <w:rPr>
          <w:lang w:val="en-US"/>
        </w:rPr>
        <w:t xml:space="preserve"> and </w:t>
      </w:r>
      <w:r w:rsidR="000077EB">
        <w:rPr>
          <w:lang w:val="en-US"/>
        </w:rPr>
        <w:t>infiltration (</w:t>
      </w:r>
      <w:r w:rsidR="00993447">
        <w:rPr>
          <w:lang w:val="en-US"/>
        </w:rPr>
        <w:t>max/min infiltration rate and decay rate constant</w:t>
      </w:r>
      <w:r>
        <w:rPr>
          <w:lang w:val="en-US"/>
        </w:rPr>
        <w:t>)</w:t>
      </w:r>
      <w:r w:rsidR="00544B3C">
        <w:rPr>
          <w:lang w:val="en-US"/>
        </w:rPr>
        <w:t xml:space="preserve"> parameters</w:t>
      </w:r>
      <w:r>
        <w:rPr>
          <w:lang w:val="en-US"/>
        </w:rPr>
        <w:t>, which when perturbed, resulted in the largest change in the total</w:t>
      </w:r>
      <w:r w:rsidR="009132E7">
        <w:rPr>
          <w:lang w:val="en-US"/>
        </w:rPr>
        <w:t xml:space="preserve"> discharge volume from the sewer model at the outfalls. </w:t>
      </w:r>
      <w:r w:rsidR="00CB3ED7">
        <w:rPr>
          <w:lang w:val="en-US"/>
        </w:rPr>
        <w:t>Each of</w:t>
      </w:r>
      <w:r w:rsidR="00A04246">
        <w:rPr>
          <w:lang w:val="en-US"/>
        </w:rPr>
        <w:t xml:space="preserve"> the six drainage zones</w:t>
      </w:r>
      <w:r w:rsidR="000B3BA0">
        <w:rPr>
          <w:lang w:val="en-US"/>
        </w:rPr>
        <w:t xml:space="preserve"> (</w:t>
      </w:r>
      <w:r w:rsidR="000B3BA0">
        <w:rPr>
          <w:i/>
          <w:iCs/>
          <w:lang w:val="en-US"/>
        </w:rPr>
        <w:t>D</w:t>
      </w:r>
      <w:r w:rsidR="000B3BA0">
        <w:rPr>
          <w:lang w:val="en-US"/>
        </w:rPr>
        <w:t xml:space="preserve">), </w:t>
      </w:r>
      <w:r w:rsidR="00CB3ED7">
        <w:rPr>
          <w:lang w:val="en-US"/>
        </w:rPr>
        <w:t>had</w:t>
      </w:r>
      <w:r w:rsidR="000B3BA0">
        <w:rPr>
          <w:lang w:val="en-US"/>
        </w:rPr>
        <w:t xml:space="preserve"> 10 parameters</w:t>
      </w:r>
      <w:r w:rsidR="00CB3ED7">
        <w:rPr>
          <w:lang w:val="en-US"/>
        </w:rPr>
        <w:t xml:space="preserve"> of interest</w:t>
      </w:r>
      <w:r w:rsidR="000B3BA0">
        <w:rPr>
          <w:lang w:val="en-US"/>
        </w:rPr>
        <w:t xml:space="preserve"> (</w:t>
      </w:r>
      <w:r w:rsidR="00E629E5">
        <w:rPr>
          <w:i/>
          <w:iCs/>
          <w:lang w:val="en-US"/>
        </w:rPr>
        <w:t>P</w:t>
      </w:r>
      <w:r w:rsidR="000B3BA0">
        <w:rPr>
          <w:lang w:val="en-US"/>
        </w:rPr>
        <w:t xml:space="preserve">) which </w:t>
      </w:r>
      <w:r w:rsidR="00B26BA7">
        <w:rPr>
          <w:lang w:val="en-US"/>
        </w:rPr>
        <w:t>w</w:t>
      </w:r>
      <w:r w:rsidR="000B3BA0">
        <w:rPr>
          <w:lang w:val="en-US"/>
        </w:rPr>
        <w:t>ould be altered</w:t>
      </w:r>
      <w:r w:rsidR="008B4B03">
        <w:rPr>
          <w:lang w:val="en-US"/>
        </w:rPr>
        <w:t xml:space="preserve"> across 21 experimental runs (</w:t>
      </w:r>
      <w:r w:rsidR="00E629E5">
        <w:rPr>
          <w:lang w:val="en-US"/>
        </w:rPr>
        <w:t xml:space="preserve">trajectories, </w:t>
      </w:r>
      <w:r w:rsidR="008B4B03">
        <w:rPr>
          <w:i/>
          <w:iCs/>
          <w:lang w:val="en-US"/>
        </w:rPr>
        <w:t>N</w:t>
      </w:r>
      <w:r w:rsidR="008B4B03">
        <w:rPr>
          <w:lang w:val="en-US"/>
        </w:rPr>
        <w:t>)</w:t>
      </w:r>
      <w:r w:rsidR="00DC7532">
        <w:rPr>
          <w:lang w:val="en-US"/>
        </w:rPr>
        <w:t>, where the value of the parameter was set to between 80 and 120%</w:t>
      </w:r>
      <w:r w:rsidR="00AC4192">
        <w:rPr>
          <w:lang w:val="en-US"/>
        </w:rPr>
        <w:t xml:space="preserve"> of the original value at random</w:t>
      </w:r>
      <w:r w:rsidR="00E15786">
        <w:rPr>
          <w:lang w:val="en-US"/>
        </w:rPr>
        <w:t>.</w:t>
      </w:r>
      <w:r w:rsidR="00AC4192">
        <w:rPr>
          <w:lang w:val="en-US"/>
        </w:rPr>
        <w:t xml:space="preserve"> In all, 1281 </w:t>
      </w:r>
      <w:r w:rsidR="00934566">
        <w:rPr>
          <w:lang w:val="en-US"/>
        </w:rPr>
        <w:t>scenarios (</w:t>
      </w:r>
      <w:r w:rsidR="00934566">
        <w:rPr>
          <w:i/>
          <w:iCs/>
          <w:lang w:val="en-US"/>
        </w:rPr>
        <w:t>N * (D*P + 1)</w:t>
      </w:r>
      <w:r w:rsidR="00934566">
        <w:rPr>
          <w:lang w:val="en-US"/>
        </w:rPr>
        <w:t>)</w:t>
      </w:r>
      <w:r w:rsidR="003B3899">
        <w:rPr>
          <w:lang w:val="en-US"/>
        </w:rPr>
        <w:t xml:space="preserve"> were </w:t>
      </w:r>
      <w:r w:rsidR="00540316">
        <w:rPr>
          <w:lang w:val="en-US"/>
        </w:rPr>
        <w:t>generated</w:t>
      </w:r>
      <w:r w:rsidR="00D939C2">
        <w:rPr>
          <w:lang w:val="en-US"/>
        </w:rPr>
        <w:t>.</w:t>
      </w:r>
      <w:r w:rsidR="00540316">
        <w:rPr>
          <w:lang w:val="en-US"/>
        </w:rPr>
        <w:t xml:space="preserve"> </w:t>
      </w:r>
      <w:r w:rsidR="00C06F59">
        <w:rPr>
          <w:lang w:val="en-US"/>
        </w:rPr>
        <w:t xml:space="preserve">The total </w:t>
      </w:r>
      <w:r w:rsidR="001363B0">
        <w:rPr>
          <w:lang w:val="en-US"/>
        </w:rPr>
        <w:t xml:space="preserve">outflow from the </w:t>
      </w:r>
      <w:r w:rsidR="001363B0">
        <w:rPr>
          <w:lang w:val="en-US"/>
        </w:rPr>
        <w:lastRenderedPageBreak/>
        <w:t>sewershed</w:t>
      </w:r>
      <w:r w:rsidR="00C06F59">
        <w:rPr>
          <w:lang w:val="en-US"/>
        </w:rPr>
        <w:t xml:space="preserve"> was then aggregated fr</w:t>
      </w:r>
      <w:r w:rsidR="00BD5C92">
        <w:rPr>
          <w:lang w:val="en-US"/>
        </w:rPr>
        <w:t>om each simulation and u</w:t>
      </w:r>
      <w:r w:rsidR="0038231F">
        <w:rPr>
          <w:lang w:val="en-US"/>
        </w:rPr>
        <w:t>sed to determine each</w:t>
      </w:r>
      <w:r w:rsidR="00F931E3">
        <w:rPr>
          <w:lang w:val="en-US"/>
        </w:rPr>
        <w:t xml:space="preserve"> </w:t>
      </w:r>
      <w:r w:rsidR="0038231F">
        <w:rPr>
          <w:lang w:val="en-US"/>
        </w:rPr>
        <w:t>parameter</w:t>
      </w:r>
      <w:r w:rsidR="007D2884">
        <w:rPr>
          <w:lang w:val="en-US"/>
        </w:rPr>
        <w:t>’s</w:t>
      </w:r>
      <w:r w:rsidR="0038231F">
        <w:rPr>
          <w:lang w:val="en-US"/>
        </w:rPr>
        <w:t xml:space="preserve"> </w:t>
      </w:r>
      <w:r w:rsidR="008218B2">
        <w:rPr>
          <w:lang w:val="en-US"/>
        </w:rPr>
        <w:t xml:space="preserve">total </w:t>
      </w:r>
      <w:r w:rsidR="0038231F">
        <w:rPr>
          <w:lang w:val="en-US"/>
        </w:rPr>
        <w:t>sensitivity in the model</w:t>
      </w:r>
      <w:r w:rsidR="00F931E3">
        <w:rPr>
          <w:lang w:val="en-US"/>
        </w:rPr>
        <w:t xml:space="preserve"> (</w:t>
      </w:r>
      <w:r w:rsidR="008218B2">
        <w:rPr>
          <w:lang w:val="en-US"/>
        </w:rPr>
        <w:t>mean absolute effect</w:t>
      </w:r>
      <w:r w:rsidR="00F931E3">
        <w:rPr>
          <w:lang w:val="en-US"/>
        </w:rPr>
        <w:t xml:space="preserve">, </w:t>
      </w:r>
      <w:r w:rsidR="00A6477A" w:rsidRPr="00A6477A">
        <w:rPr>
          <w:i/>
          <w:iCs/>
          <w:lang w:val="en-US"/>
        </w:rPr>
        <w:t>μ</w:t>
      </w:r>
      <w:r w:rsidR="00A6477A">
        <w:rPr>
          <w:i/>
          <w:iCs/>
          <w:vertAlign w:val="superscript"/>
          <w:lang w:val="en-US"/>
        </w:rPr>
        <w:t>*</w:t>
      </w:r>
      <w:r w:rsidR="00A6477A">
        <w:rPr>
          <w:lang w:val="en-US"/>
        </w:rPr>
        <w:t>)</w:t>
      </w:r>
      <w:r w:rsidR="008218B2">
        <w:rPr>
          <w:lang w:val="en-US"/>
        </w:rPr>
        <w:t xml:space="preserve"> </w:t>
      </w:r>
      <w:r w:rsidR="009729BD">
        <w:rPr>
          <w:lang w:val="en-US"/>
        </w:rPr>
        <w:t>as well</w:t>
      </w:r>
      <w:r w:rsidR="008218B2">
        <w:rPr>
          <w:lang w:val="en-US"/>
        </w:rPr>
        <w:t xml:space="preserve"> </w:t>
      </w:r>
      <w:r w:rsidR="007D2884">
        <w:rPr>
          <w:lang w:val="en-US"/>
        </w:rPr>
        <w:t xml:space="preserve">a </w:t>
      </w:r>
      <w:r w:rsidR="008218B2">
        <w:rPr>
          <w:lang w:val="en-US"/>
        </w:rPr>
        <w:t>confidence interv</w:t>
      </w:r>
      <w:r w:rsidR="0064127C">
        <w:rPr>
          <w:lang w:val="en-US"/>
        </w:rPr>
        <w:t>al</w:t>
      </w:r>
      <w:r w:rsidR="0091495A">
        <w:rPr>
          <w:lang w:val="en-US"/>
        </w:rPr>
        <w:t xml:space="preserve"> for the effect</w:t>
      </w:r>
      <w:r w:rsidR="0064127C">
        <w:rPr>
          <w:lang w:val="en-US"/>
        </w:rPr>
        <w:t xml:space="preserve">. </w:t>
      </w:r>
      <w:r w:rsidR="009127A1">
        <w:rPr>
          <w:lang w:val="en-US"/>
        </w:rPr>
        <w:t>A list of all parameters which significantly contribute to the model’s uncertainty was aggregated</w:t>
      </w:r>
      <w:r w:rsidR="004B7F2E">
        <w:rPr>
          <w:lang w:val="en-US"/>
        </w:rPr>
        <w:t xml:space="preserve">, </w:t>
      </w:r>
      <w:r w:rsidR="004B0CFC">
        <w:rPr>
          <w:lang w:val="en-US"/>
        </w:rPr>
        <w:t>excluding</w:t>
      </w:r>
      <w:r w:rsidR="00D21E84">
        <w:rPr>
          <w:lang w:val="en-US"/>
        </w:rPr>
        <w:t xml:space="preserve"> </w:t>
      </w:r>
      <w:r w:rsidR="004B0CFC">
        <w:rPr>
          <w:lang w:val="en-US"/>
        </w:rPr>
        <w:t>those with a confidence interval overlapping zero, where it could not be determined the parameter</w:t>
      </w:r>
      <w:r w:rsidR="009329C1">
        <w:rPr>
          <w:lang w:val="en-US"/>
        </w:rPr>
        <w:t xml:space="preserve"> had</w:t>
      </w:r>
      <w:r w:rsidR="00D21E84">
        <w:rPr>
          <w:lang w:val="en-US"/>
        </w:rPr>
        <w:t xml:space="preserve"> no effect.</w:t>
      </w:r>
      <w:r w:rsidR="0007213E">
        <w:rPr>
          <w:lang w:val="en-US"/>
        </w:rPr>
        <w:t xml:space="preserve"> </w:t>
      </w:r>
    </w:p>
    <w:p w14:paraId="1E841E86" w14:textId="4989E0AE" w:rsidR="00B26BA7" w:rsidRPr="00232361" w:rsidRDefault="00D223D9" w:rsidP="00BF7D44">
      <w:pPr>
        <w:rPr>
          <w:lang w:val="en-US"/>
        </w:rPr>
      </w:pPr>
      <w:r>
        <w:rPr>
          <w:lang w:val="en-US"/>
        </w:rPr>
        <w:t>A Sobol analysis was then performed</w:t>
      </w:r>
      <w:r w:rsidR="007C7E52">
        <w:rPr>
          <w:lang w:val="en-US"/>
        </w:rPr>
        <w:t xml:space="preserve"> aim</w:t>
      </w:r>
      <w:r w:rsidR="00EB7E28">
        <w:rPr>
          <w:lang w:val="en-US"/>
        </w:rPr>
        <w:t>ed</w:t>
      </w:r>
      <w:r w:rsidR="007C7E52">
        <w:rPr>
          <w:lang w:val="en-US"/>
        </w:rPr>
        <w:t xml:space="preserve"> </w:t>
      </w:r>
      <w:r w:rsidR="00EB7E28">
        <w:rPr>
          <w:lang w:val="en-US"/>
        </w:rPr>
        <w:t>at</w:t>
      </w:r>
      <w:r w:rsidR="007C7E52">
        <w:rPr>
          <w:lang w:val="en-US"/>
        </w:rPr>
        <w:t xml:space="preserve"> quantify</w:t>
      </w:r>
      <w:r w:rsidR="00EB7E28">
        <w:rPr>
          <w:lang w:val="en-US"/>
        </w:rPr>
        <w:t>ing</w:t>
      </w:r>
      <w:r w:rsidR="007C7E52">
        <w:rPr>
          <w:lang w:val="en-US"/>
        </w:rPr>
        <w:t xml:space="preserve"> the exact amount of </w:t>
      </w:r>
      <w:r w:rsidR="00312608">
        <w:rPr>
          <w:lang w:val="en-US"/>
        </w:rPr>
        <w:t>uncertainty that c</w:t>
      </w:r>
      <w:r w:rsidR="00EB7E28">
        <w:rPr>
          <w:lang w:val="en-US"/>
        </w:rPr>
        <w:t>ould</w:t>
      </w:r>
      <w:r w:rsidR="00312608">
        <w:rPr>
          <w:lang w:val="en-US"/>
        </w:rPr>
        <w:t xml:space="preserve"> be attributed to the</w:t>
      </w:r>
      <w:r w:rsidR="00E22370">
        <w:rPr>
          <w:lang w:val="en-US"/>
        </w:rPr>
        <w:t xml:space="preserve"> individual</w:t>
      </w:r>
      <w:r w:rsidR="00312608">
        <w:rPr>
          <w:lang w:val="en-US"/>
        </w:rPr>
        <w:t xml:space="preserve"> parameters in </w:t>
      </w:r>
      <w:r w:rsidR="00EB7E28">
        <w:rPr>
          <w:lang w:val="en-US"/>
        </w:rPr>
        <w:t>the</w:t>
      </w:r>
      <w:r w:rsidR="00312608">
        <w:rPr>
          <w:lang w:val="en-US"/>
        </w:rPr>
        <w:t xml:space="preserve"> model</w:t>
      </w:r>
      <w:r w:rsidR="00E22370">
        <w:rPr>
          <w:lang w:val="en-US"/>
        </w:rPr>
        <w:t>, accounting for interactions</w:t>
      </w:r>
      <w:r w:rsidR="00312608">
        <w:rPr>
          <w:lang w:val="en-US"/>
        </w:rPr>
        <w:t>.</w:t>
      </w:r>
      <w:r>
        <w:rPr>
          <w:lang w:val="en-US"/>
        </w:rPr>
        <w:t xml:space="preserve"> The analysis was performed in the same spatial </w:t>
      </w:r>
      <w:r w:rsidR="00EF2C68">
        <w:rPr>
          <w:lang w:val="en-US"/>
        </w:rPr>
        <w:t xml:space="preserve">organization </w:t>
      </w:r>
      <w:r w:rsidR="007F6609">
        <w:rPr>
          <w:lang w:val="en-US"/>
        </w:rPr>
        <w:t>of drainage zones</w:t>
      </w:r>
      <w:r w:rsidR="00EF2C68">
        <w:rPr>
          <w:lang w:val="en-US"/>
        </w:rPr>
        <w:t>.</w:t>
      </w:r>
      <w:r w:rsidR="00A52892">
        <w:rPr>
          <w:lang w:val="en-US"/>
        </w:rPr>
        <w:t xml:space="preserve"> </w:t>
      </w:r>
      <w:r w:rsidR="003779B8">
        <w:rPr>
          <w:lang w:val="en-US"/>
        </w:rPr>
        <w:t>T</w:t>
      </w:r>
      <w:r w:rsidR="00BA3F4F">
        <w:rPr>
          <w:lang w:val="en-US"/>
        </w:rPr>
        <w:t xml:space="preserve">his resulted </w:t>
      </w:r>
      <w:r w:rsidR="009C7E5B">
        <w:rPr>
          <w:lang w:val="en-US"/>
        </w:rPr>
        <w:t>29</w:t>
      </w:r>
      <w:r w:rsidR="0010568F">
        <w:rPr>
          <w:lang w:val="en-US"/>
        </w:rPr>
        <w:t xml:space="preserve"> significant</w:t>
      </w:r>
      <w:r w:rsidR="00BA3F4F">
        <w:rPr>
          <w:lang w:val="en-US"/>
        </w:rPr>
        <w:t xml:space="preserve"> parameters</w:t>
      </w:r>
      <w:r w:rsidR="00E11148">
        <w:rPr>
          <w:lang w:val="en-US"/>
        </w:rPr>
        <w:t xml:space="preserve"> from the Morris analysis</w:t>
      </w:r>
      <w:r w:rsidR="00BA3F4F">
        <w:rPr>
          <w:lang w:val="en-US"/>
        </w:rPr>
        <w:t xml:space="preserve"> (</w:t>
      </w:r>
      <w:r w:rsidR="00BA3F4F">
        <w:rPr>
          <w:i/>
          <w:iCs/>
          <w:lang w:val="en-US"/>
        </w:rPr>
        <w:t>P</w:t>
      </w:r>
      <w:r w:rsidR="00BA3F4F">
        <w:rPr>
          <w:lang w:val="en-US"/>
        </w:rPr>
        <w:t>)</w:t>
      </w:r>
      <w:r w:rsidR="005F4410">
        <w:rPr>
          <w:lang w:val="en-US"/>
        </w:rPr>
        <w:t xml:space="preserve">, </w:t>
      </w:r>
      <w:r w:rsidR="00BA3F4F">
        <w:rPr>
          <w:lang w:val="en-US"/>
        </w:rPr>
        <w:t xml:space="preserve">which </w:t>
      </w:r>
      <w:r w:rsidR="00B26BA7">
        <w:rPr>
          <w:lang w:val="en-US"/>
        </w:rPr>
        <w:t xml:space="preserve">would </w:t>
      </w:r>
      <w:r w:rsidR="00BA3F4F">
        <w:rPr>
          <w:lang w:val="en-US"/>
        </w:rPr>
        <w:t xml:space="preserve">be altered across 200 experimental runs (trajectories, </w:t>
      </w:r>
      <w:r w:rsidR="00BA3F4F">
        <w:rPr>
          <w:i/>
          <w:iCs/>
          <w:lang w:val="en-US"/>
        </w:rPr>
        <w:t>N</w:t>
      </w:r>
      <w:r w:rsidR="00BA3F4F">
        <w:rPr>
          <w:lang w:val="en-US"/>
        </w:rPr>
        <w:t xml:space="preserve">). In </w:t>
      </w:r>
      <w:r w:rsidR="00B26BA7">
        <w:rPr>
          <w:lang w:val="en-US"/>
        </w:rPr>
        <w:t xml:space="preserve">all, </w:t>
      </w:r>
      <w:r w:rsidR="0010568F">
        <w:rPr>
          <w:lang w:val="en-US"/>
        </w:rPr>
        <w:t>6200</w:t>
      </w:r>
      <w:r w:rsidR="00BA3F4F">
        <w:rPr>
          <w:lang w:val="en-US"/>
        </w:rPr>
        <w:t xml:space="preserve"> scenarios (</w:t>
      </w:r>
      <w:r w:rsidR="00BA3F4F">
        <w:rPr>
          <w:i/>
          <w:iCs/>
          <w:lang w:val="en-US"/>
        </w:rPr>
        <w:t xml:space="preserve">N * </w:t>
      </w:r>
      <w:r w:rsidR="0010568F">
        <w:rPr>
          <w:i/>
          <w:iCs/>
          <w:lang w:val="en-US"/>
        </w:rPr>
        <w:t>(</w:t>
      </w:r>
      <w:r w:rsidR="00BA3F4F">
        <w:rPr>
          <w:i/>
          <w:iCs/>
          <w:lang w:val="en-US"/>
        </w:rPr>
        <w:t xml:space="preserve">P + </w:t>
      </w:r>
      <w:r w:rsidR="008119AD">
        <w:rPr>
          <w:i/>
          <w:iCs/>
          <w:lang w:val="en-US"/>
        </w:rPr>
        <w:t>2</w:t>
      </w:r>
      <w:r w:rsidR="00BA3F4F">
        <w:rPr>
          <w:i/>
          <w:iCs/>
          <w:lang w:val="en-US"/>
        </w:rPr>
        <w:t>)</w:t>
      </w:r>
      <w:r w:rsidR="00BA3F4F">
        <w:rPr>
          <w:lang w:val="en-US"/>
        </w:rPr>
        <w:t>) were generated at random.</w:t>
      </w:r>
      <w:r w:rsidR="003A0653">
        <w:rPr>
          <w:lang w:val="en-US"/>
        </w:rPr>
        <w:t xml:space="preserve"> </w:t>
      </w:r>
      <w:r w:rsidR="003C6BB7">
        <w:rPr>
          <w:lang w:val="en-US"/>
        </w:rPr>
        <w:t xml:space="preserve">The total </w:t>
      </w:r>
      <w:r w:rsidR="007C2789">
        <w:rPr>
          <w:lang w:val="en-US"/>
        </w:rPr>
        <w:t xml:space="preserve">outflow volume </w:t>
      </w:r>
      <w:r w:rsidR="002E0D12">
        <w:rPr>
          <w:lang w:val="en-US"/>
        </w:rPr>
        <w:t>from the sewer</w:t>
      </w:r>
      <w:r w:rsidR="007072D6">
        <w:rPr>
          <w:lang w:val="en-US"/>
        </w:rPr>
        <w:t>shed was</w:t>
      </w:r>
      <w:r w:rsidR="00CB7355">
        <w:rPr>
          <w:lang w:val="en-US"/>
        </w:rPr>
        <w:t xml:space="preserve"> </w:t>
      </w:r>
      <w:r w:rsidR="007072D6">
        <w:rPr>
          <w:lang w:val="en-US"/>
        </w:rPr>
        <w:t>u</w:t>
      </w:r>
      <w:r w:rsidR="00CB7355">
        <w:rPr>
          <w:lang w:val="en-US"/>
        </w:rPr>
        <w:t>sed to calculate the first-order</w:t>
      </w:r>
      <w:r w:rsidR="00024720">
        <w:rPr>
          <w:lang w:val="en-US"/>
        </w:rPr>
        <w:t xml:space="preserve"> sensitivity</w:t>
      </w:r>
      <w:r w:rsidR="00CB7355">
        <w:rPr>
          <w:lang w:val="en-US"/>
        </w:rPr>
        <w:t xml:space="preserve"> (</w:t>
      </w:r>
      <w:r w:rsidR="003529A4">
        <w:rPr>
          <w:lang w:val="en-US"/>
        </w:rPr>
        <w:t xml:space="preserve">uncertainty </w:t>
      </w:r>
      <w:r w:rsidR="009F47CF">
        <w:rPr>
          <w:lang w:val="en-US"/>
        </w:rPr>
        <w:t>of each</w:t>
      </w:r>
      <w:r w:rsidR="00556B7B">
        <w:rPr>
          <w:lang w:val="en-US"/>
        </w:rPr>
        <w:t xml:space="preserve"> parameter </w:t>
      </w:r>
      <w:r w:rsidR="00FB5748">
        <w:rPr>
          <w:lang w:val="en-US"/>
        </w:rPr>
        <w:t>alone</w:t>
      </w:r>
      <w:r w:rsidR="00556B7B">
        <w:rPr>
          <w:lang w:val="en-US"/>
        </w:rPr>
        <w:t xml:space="preserve">, </w:t>
      </w:r>
      <w:r w:rsidR="00024720">
        <w:rPr>
          <w:i/>
          <w:iCs/>
          <w:lang w:val="en-US"/>
        </w:rPr>
        <w:t>S</w:t>
      </w:r>
      <w:r w:rsidR="00C942DC">
        <w:rPr>
          <w:i/>
          <w:iCs/>
          <w:vertAlign w:val="subscript"/>
          <w:lang w:val="en-US"/>
        </w:rPr>
        <w:t>1</w:t>
      </w:r>
      <w:r w:rsidR="00024720">
        <w:rPr>
          <w:lang w:val="en-US"/>
        </w:rPr>
        <w:t>)</w:t>
      </w:r>
      <w:r w:rsidR="00556B7B">
        <w:rPr>
          <w:lang w:val="en-US"/>
        </w:rPr>
        <w:t xml:space="preserve"> and total sensitivity</w:t>
      </w:r>
      <w:r w:rsidR="00EA3EE2">
        <w:rPr>
          <w:lang w:val="en-US"/>
        </w:rPr>
        <w:t xml:space="preserve"> (uncertainty </w:t>
      </w:r>
      <w:r w:rsidR="009F47CF">
        <w:rPr>
          <w:lang w:val="en-US"/>
        </w:rPr>
        <w:t>of</w:t>
      </w:r>
      <w:r w:rsidR="00EA3EE2">
        <w:rPr>
          <w:lang w:val="en-US"/>
        </w:rPr>
        <w:t xml:space="preserve"> each parameter, accounting for interactions, </w:t>
      </w:r>
      <w:r w:rsidR="00EA3EE2">
        <w:rPr>
          <w:i/>
          <w:iCs/>
          <w:lang w:val="en-US"/>
        </w:rPr>
        <w:t>S</w:t>
      </w:r>
      <w:r w:rsidR="00EA3EE2">
        <w:rPr>
          <w:i/>
          <w:iCs/>
          <w:vertAlign w:val="subscript"/>
          <w:lang w:val="en-US"/>
        </w:rPr>
        <w:t>T</w:t>
      </w:r>
      <w:r w:rsidR="00EA3EE2">
        <w:rPr>
          <w:lang w:val="en-US"/>
        </w:rPr>
        <w:t>)</w:t>
      </w:r>
      <w:r w:rsidR="00FB5748">
        <w:rPr>
          <w:lang w:val="en-US"/>
        </w:rPr>
        <w:t xml:space="preserve"> of each parameter retained in the analysis.</w:t>
      </w:r>
      <w:r w:rsidR="003B46D4">
        <w:rPr>
          <w:lang w:val="en-US"/>
        </w:rPr>
        <w:t xml:space="preserve"> The total sensitivity of each</w:t>
      </w:r>
      <w:r w:rsidR="000247EC">
        <w:rPr>
          <w:lang w:val="en-US"/>
        </w:rPr>
        <w:t xml:space="preserve"> drainage</w:t>
      </w:r>
      <w:r w:rsidR="003B46D4">
        <w:rPr>
          <w:lang w:val="en-US"/>
        </w:rPr>
        <w:t xml:space="preserve"> zone in the model was then calculated as the sum of the total sensitivity for </w:t>
      </w:r>
      <w:r w:rsidR="003B26EA">
        <w:rPr>
          <w:lang w:val="en-US"/>
        </w:rPr>
        <w:t>each parameter</w:t>
      </w:r>
      <w:r w:rsidR="007072D6">
        <w:rPr>
          <w:lang w:val="en-US"/>
        </w:rPr>
        <w:t xml:space="preserve"> (</w:t>
      </w:r>
      <w:r w:rsidR="007072D6">
        <w:rPr>
          <w:i/>
          <w:iCs/>
          <w:lang w:val="en-US"/>
        </w:rPr>
        <w:t>S</w:t>
      </w:r>
      <w:r w:rsidR="007072D6">
        <w:rPr>
          <w:i/>
          <w:iCs/>
          <w:vertAlign w:val="subscript"/>
          <w:lang w:val="en-US"/>
        </w:rPr>
        <w:t>T</w:t>
      </w:r>
      <w:r w:rsidR="0040568A">
        <w:rPr>
          <w:lang w:val="en-US"/>
        </w:rPr>
        <w:t>).</w:t>
      </w:r>
    </w:p>
    <w:p w14:paraId="1B1A7600" w14:textId="7A19BBE1" w:rsidR="00B309B8" w:rsidRDefault="00B309B8" w:rsidP="00B309B8">
      <w:pPr>
        <w:pStyle w:val="Heading1"/>
      </w:pPr>
      <w:r>
        <w:t>preliminary results and discussion</w:t>
      </w:r>
    </w:p>
    <w:p w14:paraId="62D5FC02" w14:textId="2121752C" w:rsidR="005561AA" w:rsidRPr="00EF04EC" w:rsidRDefault="00AB4F9C" w:rsidP="00EF04EC">
      <w:pPr>
        <w:rPr>
          <w:lang w:val="en-US"/>
        </w:rPr>
      </w:pPr>
      <w:r>
        <w:rPr>
          <w:noProof/>
        </w:rPr>
        <w:drawing>
          <wp:anchor distT="0" distB="0" distL="114300" distR="114300" simplePos="0" relativeHeight="251659264" behindDoc="0" locked="0" layoutInCell="1" allowOverlap="1" wp14:anchorId="493614F3" wp14:editId="79B06728">
            <wp:simplePos x="0" y="0"/>
            <wp:positionH relativeFrom="margin">
              <wp:align>left</wp:align>
            </wp:positionH>
            <wp:positionV relativeFrom="paragraph">
              <wp:posOffset>1389646</wp:posOffset>
            </wp:positionV>
            <wp:extent cx="5769610" cy="2321560"/>
            <wp:effectExtent l="0" t="0" r="2540" b="2540"/>
            <wp:wrapTopAndBottom/>
            <wp:docPr id="6273605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736056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5769610" cy="2321560"/>
                    </a:xfrm>
                    <a:prstGeom prst="rect">
                      <a:avLst/>
                    </a:prstGeom>
                    <a:noFill/>
                  </pic:spPr>
                </pic:pic>
              </a:graphicData>
            </a:graphic>
            <wp14:sizeRelH relativeFrom="page">
              <wp14:pctWidth>0</wp14:pctWidth>
            </wp14:sizeRelH>
            <wp14:sizeRelV relativeFrom="page">
              <wp14:pctHeight>0</wp14:pctHeight>
            </wp14:sizeRelV>
          </wp:anchor>
        </w:drawing>
      </w:r>
      <w:r w:rsidR="00510211" w:rsidRPr="00FD0C55">
        <w:rPr>
          <w:lang w:val="en-US"/>
        </w:rPr>
        <w:t xml:space="preserve">Among the </w:t>
      </w:r>
      <w:r w:rsidR="00FD0C55" w:rsidRPr="00FD0C55">
        <w:rPr>
          <w:lang w:val="en-US"/>
        </w:rPr>
        <w:t>10 most-influential p</w:t>
      </w:r>
      <w:r w:rsidR="00FD0C55">
        <w:rPr>
          <w:lang w:val="en-US"/>
        </w:rPr>
        <w:t xml:space="preserve">arameters to the model’s uncertainty identified in the Morris analysis, the impervious cover of the </w:t>
      </w:r>
      <w:r w:rsidR="008D42CF">
        <w:rPr>
          <w:lang w:val="en-US"/>
        </w:rPr>
        <w:t xml:space="preserve">subcatchments draining to the combined sewer system (A9862.01 &amp; VK_1032 in </w:t>
      </w:r>
      <w:r w:rsidR="008D42CF">
        <w:rPr>
          <w:lang w:val="en-US"/>
        </w:rPr>
        <w:fldChar w:fldCharType="begin"/>
      </w:r>
      <w:r w:rsidR="008D42CF">
        <w:rPr>
          <w:lang w:val="en-US"/>
        </w:rPr>
        <w:instrText xml:space="preserve"> REF _Ref215646409 \h </w:instrText>
      </w:r>
      <w:r w:rsidR="008D42CF">
        <w:rPr>
          <w:lang w:val="en-US"/>
        </w:rPr>
      </w:r>
      <w:r w:rsidR="008D42CF">
        <w:rPr>
          <w:lang w:val="en-US"/>
        </w:rPr>
        <w:fldChar w:fldCharType="separate"/>
      </w:r>
      <w:r w:rsidR="008D42CF" w:rsidRPr="00146B15">
        <w:rPr>
          <w:lang w:val="en-US"/>
        </w:rPr>
        <w:t>Figure 1</w:t>
      </w:r>
      <w:r w:rsidR="008D42CF">
        <w:rPr>
          <w:lang w:val="en-US"/>
        </w:rPr>
        <w:fldChar w:fldCharType="end"/>
      </w:r>
      <w:r w:rsidR="008D42CF">
        <w:rPr>
          <w:lang w:val="en-US"/>
        </w:rPr>
        <w:t>)</w:t>
      </w:r>
      <w:r w:rsidR="00CC00D8">
        <w:rPr>
          <w:lang w:val="en-US"/>
        </w:rPr>
        <w:t xml:space="preserve"> was found to have the largest effec</w:t>
      </w:r>
      <w:r w:rsidR="005561AA">
        <w:rPr>
          <w:lang w:val="en-US"/>
        </w:rPr>
        <w:t>t (</w:t>
      </w:r>
      <w:r w:rsidR="005561AA">
        <w:rPr>
          <w:lang w:val="en-US"/>
        </w:rPr>
        <w:fldChar w:fldCharType="begin"/>
      </w:r>
      <w:r w:rsidR="005561AA">
        <w:rPr>
          <w:lang w:val="en-US"/>
        </w:rPr>
        <w:instrText xml:space="preserve"> REF _Ref215650674 \h </w:instrText>
      </w:r>
      <w:r w:rsidR="005561AA">
        <w:rPr>
          <w:lang w:val="en-US"/>
        </w:rPr>
      </w:r>
      <w:r w:rsidR="005561AA">
        <w:rPr>
          <w:lang w:val="en-US"/>
        </w:rPr>
        <w:fldChar w:fldCharType="separate"/>
      </w:r>
      <w:r w:rsidR="005561AA" w:rsidRPr="005561AA">
        <w:rPr>
          <w:lang w:val="en-US"/>
        </w:rPr>
        <w:t>Figure 2</w:t>
      </w:r>
      <w:r w:rsidR="005561AA">
        <w:rPr>
          <w:lang w:val="en-US"/>
        </w:rPr>
        <w:fldChar w:fldCharType="end"/>
      </w:r>
      <w:r w:rsidR="005561AA">
        <w:rPr>
          <w:lang w:val="en-US"/>
        </w:rPr>
        <w:t xml:space="preserve">A.). The impervious cover of the </w:t>
      </w:r>
      <w:r w:rsidR="00F6789D">
        <w:rPr>
          <w:lang w:val="en-US"/>
        </w:rPr>
        <w:t>subcatchments draining to the outfalls of the stormwater sewer (4942.00A and A7503.01)</w:t>
      </w:r>
      <w:r w:rsidR="007151C2">
        <w:rPr>
          <w:lang w:val="en-US"/>
        </w:rPr>
        <w:t xml:space="preserve"> as well as the main sewer canal (VK_1032) </w:t>
      </w:r>
      <w:r w:rsidR="00FA64EA">
        <w:rPr>
          <w:lang w:val="en-US"/>
        </w:rPr>
        <w:t>had</w:t>
      </w:r>
      <w:r w:rsidR="004B77DF">
        <w:rPr>
          <w:lang w:val="en-US"/>
        </w:rPr>
        <w:t xml:space="preserve"> an </w:t>
      </w:r>
      <w:r w:rsidR="00FA64EA">
        <w:rPr>
          <w:lang w:val="en-US"/>
        </w:rPr>
        <w:t xml:space="preserve">effect that was an </w:t>
      </w:r>
      <w:r w:rsidR="004B77DF">
        <w:rPr>
          <w:lang w:val="en-US"/>
        </w:rPr>
        <w:t xml:space="preserve">order of magnitude </w:t>
      </w:r>
      <w:r w:rsidR="007F0521">
        <w:rPr>
          <w:lang w:val="en-US"/>
        </w:rPr>
        <w:t>less</w:t>
      </w:r>
      <w:r w:rsidR="004B77DF">
        <w:rPr>
          <w:lang w:val="en-US"/>
        </w:rPr>
        <w:t xml:space="preserve"> than that</w:t>
      </w:r>
      <w:r w:rsidR="007F0521">
        <w:rPr>
          <w:lang w:val="en-US"/>
        </w:rPr>
        <w:t xml:space="preserve"> of the combined system (</w:t>
      </w:r>
      <w:r w:rsidR="007F0521">
        <w:rPr>
          <w:lang w:val="en-US"/>
        </w:rPr>
        <w:fldChar w:fldCharType="begin"/>
      </w:r>
      <w:r w:rsidR="007F0521">
        <w:rPr>
          <w:lang w:val="en-US"/>
        </w:rPr>
        <w:instrText xml:space="preserve"> REF _Ref215650674 \h </w:instrText>
      </w:r>
      <w:r w:rsidR="007F0521">
        <w:rPr>
          <w:lang w:val="en-US"/>
        </w:rPr>
      </w:r>
      <w:r w:rsidR="007F0521">
        <w:rPr>
          <w:lang w:val="en-US"/>
        </w:rPr>
        <w:fldChar w:fldCharType="separate"/>
      </w:r>
      <w:r w:rsidR="007F0521" w:rsidRPr="007F0521">
        <w:rPr>
          <w:lang w:val="en-US"/>
        </w:rPr>
        <w:t>Figure 2</w:t>
      </w:r>
      <w:r w:rsidR="007F0521">
        <w:rPr>
          <w:lang w:val="en-US"/>
        </w:rPr>
        <w:fldChar w:fldCharType="end"/>
      </w:r>
      <w:r w:rsidR="007F0521">
        <w:rPr>
          <w:lang w:val="en-US"/>
        </w:rPr>
        <w:t>A.).</w:t>
      </w:r>
      <w:r w:rsidR="00133759">
        <w:rPr>
          <w:lang w:val="en-US"/>
        </w:rPr>
        <w:t xml:space="preserve"> </w:t>
      </w:r>
      <w:r w:rsidR="00782893">
        <w:rPr>
          <w:lang w:val="en-US"/>
        </w:rPr>
        <w:t xml:space="preserve">The </w:t>
      </w:r>
      <w:r w:rsidR="000673E1">
        <w:rPr>
          <w:lang w:val="en-US"/>
        </w:rPr>
        <w:t xml:space="preserve">combined sewer </w:t>
      </w:r>
      <w:r w:rsidR="0092501E">
        <w:rPr>
          <w:lang w:val="en-US"/>
        </w:rPr>
        <w:t>system</w:t>
      </w:r>
      <w:r w:rsidR="00566E5D">
        <w:rPr>
          <w:lang w:val="en-US"/>
        </w:rPr>
        <w:t xml:space="preserve">, </w:t>
      </w:r>
      <w:r w:rsidR="00BD2E55">
        <w:rPr>
          <w:lang w:val="en-US"/>
        </w:rPr>
        <w:t>which comprised of 81% of the total</w:t>
      </w:r>
      <w:r w:rsidR="00944A66">
        <w:rPr>
          <w:lang w:val="en-US"/>
        </w:rPr>
        <w:t xml:space="preserve"> modeled</w:t>
      </w:r>
      <w:r w:rsidR="00BD2E55">
        <w:rPr>
          <w:lang w:val="en-US"/>
        </w:rPr>
        <w:t xml:space="preserve"> area</w:t>
      </w:r>
      <w:r w:rsidR="00566E5D">
        <w:rPr>
          <w:lang w:val="en-US"/>
        </w:rPr>
        <w:t>, disproportionately</w:t>
      </w:r>
      <w:r w:rsidR="00782893">
        <w:rPr>
          <w:lang w:val="en-US"/>
        </w:rPr>
        <w:t xml:space="preserve"> </w:t>
      </w:r>
      <w:r w:rsidR="00807A4B">
        <w:rPr>
          <w:lang w:val="en-US"/>
        </w:rPr>
        <w:t>accounted for 99% of the uncertainty in the model’s outflow volume</w:t>
      </w:r>
      <w:r w:rsidR="002D0001">
        <w:rPr>
          <w:lang w:val="en-US"/>
        </w:rPr>
        <w:t>. T</w:t>
      </w:r>
      <w:r w:rsidR="00765279">
        <w:rPr>
          <w:lang w:val="en-US"/>
        </w:rPr>
        <w:t>he remaining zones</w:t>
      </w:r>
      <w:r w:rsidR="009D6B73">
        <w:rPr>
          <w:lang w:val="en-US"/>
        </w:rPr>
        <w:t xml:space="preserve"> </w:t>
      </w:r>
      <w:r w:rsidR="009214AC">
        <w:rPr>
          <w:lang w:val="en-US"/>
        </w:rPr>
        <w:t>(</w:t>
      </w:r>
      <w:r w:rsidR="009D6B73">
        <w:rPr>
          <w:lang w:val="en-US"/>
        </w:rPr>
        <w:t>comprising of 19% of the total area</w:t>
      </w:r>
      <w:r w:rsidR="009214AC">
        <w:rPr>
          <w:lang w:val="en-US"/>
        </w:rPr>
        <w:t>)</w:t>
      </w:r>
      <w:r w:rsidR="008724F2">
        <w:rPr>
          <w:lang w:val="en-US"/>
        </w:rPr>
        <w:t xml:space="preserve"> contribute</w:t>
      </w:r>
      <w:r w:rsidR="007E692C">
        <w:rPr>
          <w:lang w:val="en-US"/>
        </w:rPr>
        <w:t>d</w:t>
      </w:r>
      <w:r w:rsidR="008724F2">
        <w:rPr>
          <w:lang w:val="en-US"/>
        </w:rPr>
        <w:t xml:space="preserve"> </w:t>
      </w:r>
      <w:r w:rsidR="00634155">
        <w:rPr>
          <w:lang w:val="en-US"/>
        </w:rPr>
        <w:t>less than 1% of the total uncertainty (</w:t>
      </w:r>
      <w:r w:rsidR="00634155">
        <w:rPr>
          <w:lang w:val="en-US"/>
        </w:rPr>
        <w:fldChar w:fldCharType="begin"/>
      </w:r>
      <w:r w:rsidR="00634155">
        <w:rPr>
          <w:lang w:val="en-US"/>
        </w:rPr>
        <w:instrText xml:space="preserve"> REF _Ref215650674 \h </w:instrText>
      </w:r>
      <w:r w:rsidR="00634155">
        <w:rPr>
          <w:lang w:val="en-US"/>
        </w:rPr>
      </w:r>
      <w:r w:rsidR="00634155">
        <w:rPr>
          <w:lang w:val="en-US"/>
        </w:rPr>
        <w:fldChar w:fldCharType="separate"/>
      </w:r>
      <w:r w:rsidR="00634155" w:rsidRPr="00634155">
        <w:rPr>
          <w:lang w:val="en-US"/>
        </w:rPr>
        <w:t>Figure 2</w:t>
      </w:r>
      <w:r w:rsidR="00634155">
        <w:rPr>
          <w:lang w:val="en-US"/>
        </w:rPr>
        <w:fldChar w:fldCharType="end"/>
      </w:r>
      <w:r w:rsidR="00634155">
        <w:rPr>
          <w:lang w:val="en-US"/>
        </w:rPr>
        <w:t>B.).</w:t>
      </w:r>
    </w:p>
    <w:p w14:paraId="4DD54F04" w14:textId="19CF7A15" w:rsidR="00B309B8" w:rsidRDefault="005561AA" w:rsidP="005561AA">
      <w:pPr>
        <w:pStyle w:val="Caption"/>
        <w:rPr>
          <w:lang w:val="en-US"/>
        </w:rPr>
      </w:pPr>
      <w:bookmarkStart w:id="1" w:name="_Ref215650674"/>
      <w:r w:rsidRPr="004539CA">
        <w:rPr>
          <w:lang w:val="en-US"/>
        </w:rPr>
        <w:t xml:space="preserve">Figure </w:t>
      </w:r>
      <w:r w:rsidRPr="005561AA">
        <w:fldChar w:fldCharType="begin"/>
      </w:r>
      <w:r w:rsidRPr="004539CA">
        <w:rPr>
          <w:lang w:val="en-US"/>
        </w:rPr>
        <w:instrText xml:space="preserve"> SEQ Figure \* ARABIC </w:instrText>
      </w:r>
      <w:r w:rsidRPr="005561AA">
        <w:fldChar w:fldCharType="separate"/>
      </w:r>
      <w:r w:rsidR="00B93034">
        <w:rPr>
          <w:noProof/>
          <w:lang w:val="en-US"/>
        </w:rPr>
        <w:t>2</w:t>
      </w:r>
      <w:r w:rsidRPr="005561AA">
        <w:fldChar w:fldCharType="end"/>
      </w:r>
      <w:bookmarkEnd w:id="1"/>
      <w:r w:rsidRPr="004539CA">
        <w:rPr>
          <w:lang w:val="en-US"/>
        </w:rPr>
        <w:t xml:space="preserve"> </w:t>
      </w:r>
      <w:r w:rsidR="00634155" w:rsidRPr="004539CA">
        <w:rPr>
          <w:lang w:val="en-US"/>
        </w:rPr>
        <w:t xml:space="preserve">A. </w:t>
      </w:r>
      <w:r w:rsidR="004539CA" w:rsidRPr="004539CA">
        <w:rPr>
          <w:lang w:val="en-US"/>
        </w:rPr>
        <w:t>Results of t</w:t>
      </w:r>
      <w:r w:rsidR="004539CA">
        <w:rPr>
          <w:lang w:val="en-US"/>
        </w:rPr>
        <w:t>he Morris screening, identifying the 10 most-influential parameters (by zone and model parameter) on the model’s uncertainty</w:t>
      </w:r>
      <w:r w:rsidR="002A73B5">
        <w:rPr>
          <w:lang w:val="en-US"/>
        </w:rPr>
        <w:t>,</w:t>
      </w:r>
      <w:r w:rsidR="004539CA">
        <w:rPr>
          <w:lang w:val="en-US"/>
        </w:rPr>
        <w:t xml:space="preserve"> and B. </w:t>
      </w:r>
      <w:r w:rsidR="002A73B5">
        <w:rPr>
          <w:lang w:val="en-US"/>
        </w:rPr>
        <w:t>portion of the model’s total uncertainty that can be attributed to each of the drainage zones, as identified by the Sobol analysis that focused on the</w:t>
      </w:r>
      <w:r w:rsidR="00564F1A">
        <w:rPr>
          <w:lang w:val="en-US"/>
        </w:rPr>
        <w:t xml:space="preserve"> parameters contributing to the model’s uncertainty.</w:t>
      </w:r>
    </w:p>
    <w:p w14:paraId="7C0DC79E" w14:textId="72B91685" w:rsidR="0045512B" w:rsidRPr="009F0073" w:rsidRDefault="00AF2B3B" w:rsidP="0045512B">
      <w:pPr>
        <w:rPr>
          <w:lang w:val="en-US"/>
        </w:rPr>
      </w:pPr>
      <w:r>
        <w:rPr>
          <w:lang w:val="en-US"/>
        </w:rPr>
        <w:t xml:space="preserve">Increasing the impervious cover of the combined sewershed (Zone A9862.01 and VK_1032) magnified the peak flow out of the outfall for the emergency outfall (A9862.01, </w:t>
      </w:r>
      <w:r>
        <w:rPr>
          <w:lang w:val="en-US"/>
        </w:rPr>
        <w:fldChar w:fldCharType="begin"/>
      </w:r>
      <w:r>
        <w:rPr>
          <w:lang w:val="en-US"/>
        </w:rPr>
        <w:instrText xml:space="preserve"> REF _Ref215659907 \h </w:instrText>
      </w:r>
      <w:r>
        <w:rPr>
          <w:lang w:val="en-US"/>
        </w:rPr>
      </w:r>
      <w:r>
        <w:rPr>
          <w:lang w:val="en-US"/>
        </w:rPr>
        <w:fldChar w:fldCharType="separate"/>
      </w:r>
      <w:r w:rsidRPr="00B93034">
        <w:rPr>
          <w:lang w:val="en-US"/>
        </w:rPr>
        <w:t>Figure 3</w:t>
      </w:r>
      <w:r>
        <w:rPr>
          <w:lang w:val="en-US"/>
        </w:rPr>
        <w:fldChar w:fldCharType="end"/>
      </w:r>
      <w:r>
        <w:rPr>
          <w:lang w:val="en-US"/>
        </w:rPr>
        <w:t xml:space="preserve">A.) but had no effect on the peak flow of water to the main sewer trunk (VK_1032, </w:t>
      </w:r>
      <w:r>
        <w:rPr>
          <w:lang w:val="en-US"/>
        </w:rPr>
        <w:fldChar w:fldCharType="begin"/>
      </w:r>
      <w:r>
        <w:rPr>
          <w:lang w:val="en-US"/>
        </w:rPr>
        <w:instrText xml:space="preserve"> REF _Ref215659907 \h </w:instrText>
      </w:r>
      <w:r>
        <w:rPr>
          <w:lang w:val="en-US"/>
        </w:rPr>
      </w:r>
      <w:r>
        <w:rPr>
          <w:lang w:val="en-US"/>
        </w:rPr>
        <w:fldChar w:fldCharType="separate"/>
      </w:r>
      <w:r w:rsidRPr="00B93034">
        <w:rPr>
          <w:lang w:val="en-US"/>
        </w:rPr>
        <w:t>Figure 3</w:t>
      </w:r>
      <w:r>
        <w:rPr>
          <w:lang w:val="en-US"/>
        </w:rPr>
        <w:fldChar w:fldCharType="end"/>
      </w:r>
      <w:r>
        <w:rPr>
          <w:lang w:val="en-US"/>
        </w:rPr>
        <w:t>A.). At the same time, the total volume of water exiting via these outfalls both increased (</w:t>
      </w:r>
      <w:r>
        <w:rPr>
          <w:lang w:val="en-US"/>
        </w:rPr>
        <w:fldChar w:fldCharType="begin"/>
      </w:r>
      <w:r>
        <w:rPr>
          <w:lang w:val="en-US"/>
        </w:rPr>
        <w:instrText xml:space="preserve"> REF _Ref215659907 \h </w:instrText>
      </w:r>
      <w:r>
        <w:rPr>
          <w:lang w:val="en-US"/>
        </w:rPr>
      </w:r>
      <w:r>
        <w:rPr>
          <w:lang w:val="en-US"/>
        </w:rPr>
        <w:fldChar w:fldCharType="separate"/>
      </w:r>
      <w:r w:rsidRPr="00B93034">
        <w:rPr>
          <w:lang w:val="en-US"/>
        </w:rPr>
        <w:t>Figure 3</w:t>
      </w:r>
      <w:r>
        <w:rPr>
          <w:lang w:val="en-US"/>
        </w:rPr>
        <w:fldChar w:fldCharType="end"/>
      </w:r>
      <w:r>
        <w:rPr>
          <w:lang w:val="en-US"/>
        </w:rPr>
        <w:t>B.).</w:t>
      </w:r>
      <w:r w:rsidR="0045512B" w:rsidRPr="0045512B">
        <w:rPr>
          <w:lang w:val="en-US"/>
        </w:rPr>
        <w:t xml:space="preserve"> </w:t>
      </w:r>
      <w:r w:rsidR="0045512B">
        <w:rPr>
          <w:lang w:val="en-US"/>
        </w:rPr>
        <w:t>In effect, the increase in the volume of water exiting via these nodes is both driven by the increase in imperviousness, but via differing mechanisms. For the main sewer trunk, the difference was driven by an increase in the unit hydrograph for all rainfalls. For the emergency outfall, the difference was driven by the magnification of runoff from infrequent extreme events, which remained constant in frequency with respect to imperviousness, as their occurrence was determined by overflow-causing rainfalls. While the imperviousness of other zones was found to contribute to the uncertainty in the model (</w:t>
      </w:r>
      <w:r w:rsidR="0045512B">
        <w:rPr>
          <w:lang w:val="en-US"/>
        </w:rPr>
        <w:fldChar w:fldCharType="begin"/>
      </w:r>
      <w:r w:rsidR="0045512B">
        <w:rPr>
          <w:lang w:val="en-US"/>
        </w:rPr>
        <w:instrText xml:space="preserve"> REF _Ref215650674 \h </w:instrText>
      </w:r>
      <w:r w:rsidR="0045512B">
        <w:rPr>
          <w:lang w:val="en-US"/>
        </w:rPr>
      </w:r>
      <w:r w:rsidR="0045512B">
        <w:rPr>
          <w:lang w:val="en-US"/>
        </w:rPr>
        <w:fldChar w:fldCharType="separate"/>
      </w:r>
      <w:r w:rsidR="0045512B" w:rsidRPr="004539CA">
        <w:rPr>
          <w:lang w:val="en-US"/>
        </w:rPr>
        <w:t xml:space="preserve">Figure </w:t>
      </w:r>
      <w:r w:rsidR="0045512B">
        <w:rPr>
          <w:noProof/>
          <w:lang w:val="en-US"/>
        </w:rPr>
        <w:t>2</w:t>
      </w:r>
      <w:r w:rsidR="0045512B">
        <w:rPr>
          <w:lang w:val="en-US"/>
        </w:rPr>
        <w:fldChar w:fldCharType="end"/>
      </w:r>
      <w:r w:rsidR="0045512B">
        <w:rPr>
          <w:lang w:val="en-US"/>
        </w:rPr>
        <w:t>A.), their impact on the total outflow volume from the system was less than that of the combined system (</w:t>
      </w:r>
      <w:r w:rsidR="0045512B">
        <w:rPr>
          <w:lang w:val="en-US"/>
        </w:rPr>
        <w:fldChar w:fldCharType="begin"/>
      </w:r>
      <w:r w:rsidR="0045512B">
        <w:rPr>
          <w:lang w:val="en-US"/>
        </w:rPr>
        <w:instrText xml:space="preserve"> REF _Ref215650674 \h </w:instrText>
      </w:r>
      <w:r w:rsidR="0045512B">
        <w:rPr>
          <w:lang w:val="en-US"/>
        </w:rPr>
      </w:r>
      <w:r w:rsidR="0045512B">
        <w:rPr>
          <w:lang w:val="en-US"/>
        </w:rPr>
        <w:fldChar w:fldCharType="separate"/>
      </w:r>
      <w:r w:rsidR="0045512B" w:rsidRPr="004539CA">
        <w:rPr>
          <w:lang w:val="en-US"/>
        </w:rPr>
        <w:t xml:space="preserve">Figure </w:t>
      </w:r>
      <w:r w:rsidR="0045512B">
        <w:rPr>
          <w:noProof/>
          <w:lang w:val="en-US"/>
        </w:rPr>
        <w:t>2</w:t>
      </w:r>
      <w:r w:rsidR="0045512B">
        <w:rPr>
          <w:lang w:val="en-US"/>
        </w:rPr>
        <w:fldChar w:fldCharType="end"/>
      </w:r>
      <w:r w:rsidR="0045512B">
        <w:rPr>
          <w:lang w:val="en-US"/>
        </w:rPr>
        <w:t>B.), despite having been caused by the same mechanism.</w:t>
      </w:r>
    </w:p>
    <w:p w14:paraId="1680FE50" w14:textId="37AFEA37" w:rsidR="00AF2B3B" w:rsidRPr="00AF2B3B" w:rsidRDefault="00AF2B3B" w:rsidP="00AF2B3B">
      <w:pPr>
        <w:rPr>
          <w:lang w:val="en-US"/>
        </w:rPr>
      </w:pPr>
    </w:p>
    <w:p w14:paraId="30A61959" w14:textId="6BDEC364" w:rsidR="00986FA9" w:rsidRDefault="00AE61B3" w:rsidP="00AE61B3">
      <w:pPr>
        <w:pStyle w:val="Caption"/>
        <w:rPr>
          <w:lang w:val="en-US"/>
        </w:rPr>
      </w:pPr>
      <w:r>
        <w:rPr>
          <w:noProof/>
          <w:lang w:val="en-US"/>
        </w:rPr>
        <w:lastRenderedPageBreak/>
        <w:drawing>
          <wp:anchor distT="0" distB="0" distL="114300" distR="114300" simplePos="0" relativeHeight="251660288" behindDoc="0" locked="0" layoutInCell="1" allowOverlap="1" wp14:anchorId="3B75F40E" wp14:editId="5D681659">
            <wp:simplePos x="0" y="0"/>
            <wp:positionH relativeFrom="margin">
              <wp:posOffset>14605</wp:posOffset>
            </wp:positionH>
            <wp:positionV relativeFrom="paragraph">
              <wp:posOffset>1270</wp:posOffset>
            </wp:positionV>
            <wp:extent cx="5769610" cy="2214880"/>
            <wp:effectExtent l="0" t="0" r="2540" b="0"/>
            <wp:wrapTopAndBottom/>
            <wp:docPr id="129019250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192502"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5769610" cy="2214880"/>
                    </a:xfrm>
                    <a:prstGeom prst="rect">
                      <a:avLst/>
                    </a:prstGeom>
                  </pic:spPr>
                </pic:pic>
              </a:graphicData>
            </a:graphic>
            <wp14:sizeRelH relativeFrom="page">
              <wp14:pctWidth>0</wp14:pctWidth>
            </wp14:sizeRelH>
            <wp14:sizeRelV relativeFrom="page">
              <wp14:pctHeight>0</wp14:pctHeight>
            </wp14:sizeRelV>
          </wp:anchor>
        </w:drawing>
      </w:r>
      <w:r w:rsidR="007702B2">
        <w:rPr>
          <w:lang w:val="en-US"/>
        </w:rPr>
        <w:t xml:space="preserve"> </w:t>
      </w:r>
      <w:bookmarkStart w:id="2" w:name="_Ref215659907"/>
      <w:r w:rsidR="00B93034" w:rsidRPr="00B93034">
        <w:rPr>
          <w:lang w:val="en-US"/>
        </w:rPr>
        <w:t xml:space="preserve">Figure </w:t>
      </w:r>
      <w:r w:rsidR="00B93034" w:rsidRPr="00B93034">
        <w:fldChar w:fldCharType="begin"/>
      </w:r>
      <w:r w:rsidR="00B93034" w:rsidRPr="00B93034">
        <w:rPr>
          <w:lang w:val="en-US"/>
        </w:rPr>
        <w:instrText xml:space="preserve"> SEQ Figure \* ARABIC </w:instrText>
      </w:r>
      <w:r w:rsidR="00B93034" w:rsidRPr="00B93034">
        <w:fldChar w:fldCharType="separate"/>
      </w:r>
      <w:r w:rsidR="00B93034" w:rsidRPr="00B93034">
        <w:rPr>
          <w:lang w:val="en-US"/>
        </w:rPr>
        <w:t>3</w:t>
      </w:r>
      <w:r w:rsidR="00B93034" w:rsidRPr="00B93034">
        <w:fldChar w:fldCharType="end"/>
      </w:r>
      <w:bookmarkEnd w:id="2"/>
      <w:r w:rsidR="00B93034" w:rsidRPr="00B93034">
        <w:rPr>
          <w:lang w:val="en-US"/>
        </w:rPr>
        <w:t xml:space="preserve"> A. Peak flow </w:t>
      </w:r>
      <w:r w:rsidR="005F1610">
        <w:rPr>
          <w:lang w:val="en-US"/>
        </w:rPr>
        <w:t>and B. total volume out of</w:t>
      </w:r>
      <w:r w:rsidR="00B93034">
        <w:rPr>
          <w:lang w:val="en-US"/>
        </w:rPr>
        <w:t xml:space="preserve"> the system at the outfalls in the combined sewershed (A9862.01 in blue and VK_1032 in red)</w:t>
      </w:r>
      <w:r w:rsidR="005F1610">
        <w:rPr>
          <w:lang w:val="en-US"/>
        </w:rPr>
        <w:t>.</w:t>
      </w:r>
    </w:p>
    <w:p w14:paraId="79506098" w14:textId="747692C7" w:rsidR="00B309B8" w:rsidRPr="00B309B8" w:rsidRDefault="00B309B8" w:rsidP="00B309B8">
      <w:pPr>
        <w:pStyle w:val="Heading1"/>
      </w:pPr>
      <w:r>
        <w:t>future work</w:t>
      </w:r>
    </w:p>
    <w:p w14:paraId="6673DCE1" w14:textId="71C107C8" w:rsidR="00835EE1" w:rsidRPr="00676597" w:rsidRDefault="00676597" w:rsidP="005667E5">
      <w:pPr>
        <w:rPr>
          <w:rFonts w:cstheme="minorHAnsi"/>
          <w:lang w:val="en-US"/>
        </w:rPr>
      </w:pPr>
      <w:r w:rsidRPr="00676597">
        <w:rPr>
          <w:rFonts w:cstheme="minorHAnsi"/>
          <w:lang w:val="en-US"/>
        </w:rPr>
        <w:t>Future work will ex</w:t>
      </w:r>
      <w:r>
        <w:rPr>
          <w:rFonts w:cstheme="minorHAnsi"/>
          <w:lang w:val="en-US"/>
        </w:rPr>
        <w:t xml:space="preserve">tend this analysis to additional catchments </w:t>
      </w:r>
      <w:r w:rsidR="00302E71">
        <w:rPr>
          <w:rFonts w:cstheme="minorHAnsi"/>
          <w:lang w:val="en-US"/>
        </w:rPr>
        <w:t>and</w:t>
      </w:r>
      <w:r>
        <w:rPr>
          <w:rFonts w:cstheme="minorHAnsi"/>
          <w:lang w:val="en-US"/>
        </w:rPr>
        <w:t xml:space="preserve"> assess adequate </w:t>
      </w:r>
      <w:r w:rsidR="00FD403A">
        <w:rPr>
          <w:rFonts w:cstheme="minorHAnsi"/>
          <w:lang w:val="en-US"/>
        </w:rPr>
        <w:t>locations for the installation of sensors</w:t>
      </w:r>
      <w:r w:rsidR="00E1552A">
        <w:rPr>
          <w:rFonts w:cstheme="minorHAnsi"/>
          <w:lang w:val="en-US"/>
        </w:rPr>
        <w:t>, as well as incorporate groundwater flow and evaporation as inputs</w:t>
      </w:r>
      <w:r w:rsidR="00FD403A">
        <w:rPr>
          <w:rFonts w:cstheme="minorHAnsi"/>
          <w:lang w:val="en-US"/>
        </w:rPr>
        <w:t>.</w:t>
      </w:r>
      <w:r w:rsidR="002D0001">
        <w:rPr>
          <w:rFonts w:cstheme="minorHAnsi"/>
          <w:lang w:val="en-US"/>
        </w:rPr>
        <w:t xml:space="preserve"> Efforts will focus on installing a flow sensor at the emergency overflow for the combined system</w:t>
      </w:r>
      <w:r w:rsidR="00C57082">
        <w:rPr>
          <w:rFonts w:cstheme="minorHAnsi"/>
          <w:lang w:val="en-US"/>
        </w:rPr>
        <w:t>, where the largest uncertainty in the model could be attributed to.</w:t>
      </w:r>
      <w:r w:rsidR="00302E71">
        <w:rPr>
          <w:rFonts w:cstheme="minorHAnsi"/>
          <w:lang w:val="en-US"/>
        </w:rPr>
        <w:t xml:space="preserve"> </w:t>
      </w:r>
      <w:r w:rsidR="00FD403A">
        <w:rPr>
          <w:rFonts w:cstheme="minorHAnsi"/>
          <w:lang w:val="en-US"/>
        </w:rPr>
        <w:t xml:space="preserve">Upon adequate collection of field data, the observations will be used to calibrate the hydrodynamic models. </w:t>
      </w:r>
      <w:r w:rsidR="00B35F31">
        <w:rPr>
          <w:rFonts w:cstheme="minorHAnsi"/>
          <w:lang w:val="en-US"/>
        </w:rPr>
        <w:t>A</w:t>
      </w:r>
      <w:r w:rsidR="00F4470C">
        <w:rPr>
          <w:rFonts w:cstheme="minorHAnsi"/>
          <w:lang w:val="en-US"/>
        </w:rPr>
        <w:t xml:space="preserve"> pre- and post-calibration assessment will be determined</w:t>
      </w:r>
      <w:r w:rsidR="00B35F31">
        <w:rPr>
          <w:rFonts w:cstheme="minorHAnsi"/>
          <w:lang w:val="en-US"/>
        </w:rPr>
        <w:t xml:space="preserve"> using collected field data</w:t>
      </w:r>
      <w:r w:rsidR="00F4470C">
        <w:rPr>
          <w:rFonts w:cstheme="minorHAnsi"/>
          <w:lang w:val="en-US"/>
        </w:rPr>
        <w:t xml:space="preserve">, which will </w:t>
      </w:r>
      <w:r w:rsidR="0079556C">
        <w:rPr>
          <w:rFonts w:cstheme="minorHAnsi"/>
          <w:lang w:val="en-US"/>
        </w:rPr>
        <w:t>facilitate quantifying the true information</w:t>
      </w:r>
      <w:r w:rsidR="00090491">
        <w:rPr>
          <w:rFonts w:cstheme="minorHAnsi"/>
          <w:lang w:val="en-US"/>
        </w:rPr>
        <w:t xml:space="preserve"> gain from the sensitivity analyses performed herein. </w:t>
      </w:r>
      <w:r w:rsidR="003E3E1F">
        <w:rPr>
          <w:rFonts w:cstheme="minorHAnsi"/>
          <w:lang w:val="en-US"/>
        </w:rPr>
        <w:t>The results of this analysis suggest that it would be imperative to calibrate the impervious cover in the combined sewershed.</w:t>
      </w:r>
    </w:p>
    <w:p w14:paraId="00F05B84" w14:textId="77777777" w:rsidR="0092501E" w:rsidRDefault="0092501E" w:rsidP="00B46E8E">
      <w:pPr>
        <w:pStyle w:val="Title"/>
        <w:rPr>
          <w:color w:val="auto"/>
          <w:lang w:val="en-GB"/>
        </w:rPr>
      </w:pPr>
    </w:p>
    <w:p w14:paraId="386FA569" w14:textId="1ECB866A" w:rsidR="00B46E8E" w:rsidRDefault="006A683B" w:rsidP="00B46E8E">
      <w:pPr>
        <w:pStyle w:val="Title"/>
        <w:rPr>
          <w:b w:val="0"/>
          <w:i/>
          <w:color w:val="auto"/>
          <w:sz w:val="22"/>
          <w:lang w:val="en-GB"/>
        </w:rPr>
      </w:pPr>
      <w:r w:rsidRPr="00061D24">
        <w:rPr>
          <w:color w:val="auto"/>
          <w:lang w:val="en-GB"/>
        </w:rPr>
        <w:t>LIST OF REFERENCES</w:t>
      </w:r>
      <w:r w:rsidR="00D51BCE" w:rsidRPr="00061D24">
        <w:rPr>
          <w:color w:val="auto"/>
          <w:lang w:val="en-GB"/>
        </w:rPr>
        <w:t xml:space="preserve"> </w:t>
      </w:r>
    </w:p>
    <w:p w14:paraId="553673FA" w14:textId="77777777" w:rsidR="00FC746B" w:rsidRPr="00FC746B" w:rsidRDefault="00FC746B" w:rsidP="00FC746B">
      <w:pPr>
        <w:pStyle w:val="Bibliography"/>
        <w:rPr>
          <w:rFonts w:ascii="Calibri" w:hAnsi="Calibri" w:cs="Calibri"/>
          <w:lang w:val="en-US"/>
        </w:rPr>
      </w:pPr>
      <w:r>
        <w:rPr>
          <w:lang w:val="en-GB"/>
        </w:rPr>
        <w:fldChar w:fldCharType="begin"/>
      </w:r>
      <w:r>
        <w:rPr>
          <w:lang w:val="en-GB"/>
        </w:rPr>
        <w:instrText xml:space="preserve"> ADDIN ZOTERO_BIBL {"uncited":[],"omitted":[],"custom":[]} CSL_BIBLIOGRAPHY </w:instrText>
      </w:r>
      <w:r>
        <w:rPr>
          <w:lang w:val="en-GB"/>
        </w:rPr>
        <w:fldChar w:fldCharType="separate"/>
      </w:r>
      <w:r w:rsidRPr="00FC746B">
        <w:rPr>
          <w:rFonts w:ascii="Calibri" w:hAnsi="Calibri" w:cs="Calibri"/>
          <w:lang w:val="en-GB"/>
        </w:rPr>
        <w:t xml:space="preserve">Blumensaat, F., S. Bloem, C. Ebi, A. Disch, C. Förster, M. Maurer, M. Rodriguez, and J. Rieckermann. </w:t>
      </w:r>
      <w:r w:rsidRPr="00FC746B">
        <w:rPr>
          <w:rFonts w:ascii="Calibri" w:hAnsi="Calibri" w:cs="Calibri"/>
          <w:lang w:val="en-US"/>
        </w:rPr>
        <w:t xml:space="preserve">2025. “The UWO dataset &amp;ndash; long-term observations from a full-scale field laboratory to better understand urban hydrology at small spatio-temporal scales.” </w:t>
      </w:r>
      <w:r w:rsidRPr="00FC746B">
        <w:rPr>
          <w:rFonts w:ascii="Calibri" w:hAnsi="Calibri" w:cs="Calibri"/>
          <w:i/>
          <w:iCs/>
          <w:lang w:val="en-US"/>
        </w:rPr>
        <w:t>Earth System Science Data Discussions</w:t>
      </w:r>
      <w:r w:rsidRPr="00FC746B">
        <w:rPr>
          <w:rFonts w:ascii="Calibri" w:hAnsi="Calibri" w:cs="Calibri"/>
          <w:lang w:val="en-US"/>
        </w:rPr>
        <w:t>, 1–31. Copernicus GmbH. https://doi.org/10.5194/essd-2024-47.</w:t>
      </w:r>
    </w:p>
    <w:p w14:paraId="250C10D8" w14:textId="77777777" w:rsidR="00FC746B" w:rsidRPr="00FC746B" w:rsidRDefault="00FC746B" w:rsidP="00FC746B">
      <w:pPr>
        <w:pStyle w:val="Bibliography"/>
        <w:rPr>
          <w:rFonts w:ascii="Calibri" w:hAnsi="Calibri" w:cs="Calibri"/>
          <w:lang w:val="en-US"/>
        </w:rPr>
      </w:pPr>
      <w:r w:rsidRPr="00FC746B">
        <w:rPr>
          <w:rFonts w:ascii="Calibri" w:hAnsi="Calibri" w:cs="Calibri"/>
          <w:lang w:val="en-US"/>
        </w:rPr>
        <w:t xml:space="preserve">Joshi, P., J. P. Leitão, M. Maurer, and P. M. Bach. 2021. “Not all SuDS are created equal: Impact of different approaches on combined sewer overflows.” </w:t>
      </w:r>
      <w:r w:rsidRPr="00FC746B">
        <w:rPr>
          <w:rFonts w:ascii="Calibri" w:hAnsi="Calibri" w:cs="Calibri"/>
          <w:i/>
          <w:iCs/>
          <w:lang w:val="en-US"/>
        </w:rPr>
        <w:t>Water Research</w:t>
      </w:r>
      <w:r w:rsidRPr="00FC746B">
        <w:rPr>
          <w:rFonts w:ascii="Calibri" w:hAnsi="Calibri" w:cs="Calibri"/>
          <w:lang w:val="en-US"/>
        </w:rPr>
        <w:t>, 191: 116780. https://doi.org/10.1016/j.watres.2020.116780.</w:t>
      </w:r>
    </w:p>
    <w:p w14:paraId="5AEEEBD5" w14:textId="77777777" w:rsidR="00FC746B" w:rsidRPr="00FC746B" w:rsidRDefault="00FC746B" w:rsidP="00FC746B">
      <w:pPr>
        <w:pStyle w:val="Bibliography"/>
        <w:rPr>
          <w:rFonts w:ascii="Calibri" w:hAnsi="Calibri" w:cs="Calibri"/>
          <w:lang w:val="en-US"/>
        </w:rPr>
      </w:pPr>
      <w:r w:rsidRPr="00FC746B">
        <w:rPr>
          <w:rFonts w:ascii="Calibri" w:hAnsi="Calibri" w:cs="Calibri"/>
          <w:lang w:val="en-US"/>
        </w:rPr>
        <w:t xml:space="preserve">Meijer, D., H. Korving, J. Langeveld, and F. Clemens-Meyer. 2023. “A method to identify the weakest link in urban drainage systems.” </w:t>
      </w:r>
      <w:r w:rsidRPr="00FC746B">
        <w:rPr>
          <w:rFonts w:ascii="Calibri" w:hAnsi="Calibri" w:cs="Calibri"/>
          <w:i/>
          <w:iCs/>
          <w:lang w:val="en-US"/>
        </w:rPr>
        <w:t>Water Science and Technology</w:t>
      </w:r>
      <w:r w:rsidRPr="00FC746B">
        <w:rPr>
          <w:rFonts w:ascii="Calibri" w:hAnsi="Calibri" w:cs="Calibri"/>
          <w:lang w:val="en-US"/>
        </w:rPr>
        <w:t>, 87 (5): 1273–1293. https://doi.org/10.2166/wst.2023.057.</w:t>
      </w:r>
    </w:p>
    <w:p w14:paraId="1ADA4184" w14:textId="77777777" w:rsidR="00FC746B" w:rsidRPr="00FC746B" w:rsidRDefault="00FC746B" w:rsidP="00FC746B">
      <w:pPr>
        <w:pStyle w:val="Bibliography"/>
        <w:rPr>
          <w:rFonts w:ascii="Calibri" w:hAnsi="Calibri" w:cs="Calibri"/>
          <w:lang w:val="en-US"/>
        </w:rPr>
      </w:pPr>
      <w:r w:rsidRPr="00FC746B">
        <w:rPr>
          <w:rFonts w:ascii="Calibri" w:hAnsi="Calibri" w:cs="Calibri"/>
          <w:lang w:val="en-US"/>
        </w:rPr>
        <w:t xml:space="preserve">Meijer, D., M. Van Bijnen, J. Langeveld, H. Korving, J. Post, and F. Clemens. 2018. “Identifying Critical Elements in Sewer Networks Using Graph-Theory.” </w:t>
      </w:r>
      <w:r w:rsidRPr="00FC746B">
        <w:rPr>
          <w:rFonts w:ascii="Calibri" w:hAnsi="Calibri" w:cs="Calibri"/>
          <w:i/>
          <w:iCs/>
          <w:lang w:val="en-US"/>
        </w:rPr>
        <w:t>Water</w:t>
      </w:r>
      <w:r w:rsidRPr="00FC746B">
        <w:rPr>
          <w:rFonts w:ascii="Calibri" w:hAnsi="Calibri" w:cs="Calibri"/>
          <w:lang w:val="en-US"/>
        </w:rPr>
        <w:t>, 10 (2): 136. Multidisciplinary Digital Publishing Institute. https://doi.org/10.3390/w10020136.</w:t>
      </w:r>
    </w:p>
    <w:p w14:paraId="42103773" w14:textId="77777777" w:rsidR="00FC746B" w:rsidRPr="00FC746B" w:rsidRDefault="00FC746B" w:rsidP="00FC746B">
      <w:pPr>
        <w:pStyle w:val="Bibliography"/>
        <w:rPr>
          <w:rFonts w:ascii="Calibri" w:hAnsi="Calibri" w:cs="Calibri"/>
          <w:lang w:val="en-US"/>
        </w:rPr>
      </w:pPr>
      <w:r w:rsidRPr="00FC746B">
        <w:rPr>
          <w:rFonts w:ascii="Calibri" w:hAnsi="Calibri" w:cs="Calibri"/>
          <w:lang w:val="en-US"/>
        </w:rPr>
        <w:t xml:space="preserve">Riechel, M., A. Matzinger, E. Pawlowsky-Reusing, H. Sonnenberg, M. Uldack, B. Heinzmann, N. Caradot, D. von Seggern, and P. Rouault. 2016. “Impacts of combined sewer overflows on a large urban river – Understanding the effect of different management strategies.” </w:t>
      </w:r>
      <w:r w:rsidRPr="00FC746B">
        <w:rPr>
          <w:rFonts w:ascii="Calibri" w:hAnsi="Calibri" w:cs="Calibri"/>
          <w:i/>
          <w:iCs/>
          <w:lang w:val="en-US"/>
        </w:rPr>
        <w:t>Water Research</w:t>
      </w:r>
      <w:r w:rsidRPr="00FC746B">
        <w:rPr>
          <w:rFonts w:ascii="Calibri" w:hAnsi="Calibri" w:cs="Calibri"/>
          <w:lang w:val="en-US"/>
        </w:rPr>
        <w:t>, 105: 264–273. https://doi.org/10.1016/j.watres.2016.08.017.</w:t>
      </w:r>
    </w:p>
    <w:p w14:paraId="032C1019" w14:textId="77777777" w:rsidR="00FC746B" w:rsidRPr="00FC746B" w:rsidRDefault="00FC746B" w:rsidP="00FC746B">
      <w:pPr>
        <w:pStyle w:val="Bibliography"/>
        <w:rPr>
          <w:rFonts w:ascii="Calibri" w:hAnsi="Calibri" w:cs="Calibri"/>
        </w:rPr>
      </w:pPr>
      <w:r w:rsidRPr="00FC746B">
        <w:rPr>
          <w:rFonts w:ascii="Calibri" w:hAnsi="Calibri" w:cs="Calibri"/>
          <w:lang w:val="en-US"/>
        </w:rPr>
        <w:t xml:space="preserve">Rodriguez, M., G. B. Cavadini, and L. M. Cook. 2024. “Do baseline assumptions alter the efficacy of green stormwater infrastructure to reduce combined sewer overflows?” </w:t>
      </w:r>
      <w:r w:rsidRPr="00FC746B">
        <w:rPr>
          <w:rFonts w:ascii="Calibri" w:hAnsi="Calibri" w:cs="Calibri"/>
          <w:i/>
          <w:iCs/>
        </w:rPr>
        <w:t>Water Research</w:t>
      </w:r>
      <w:r w:rsidRPr="00FC746B">
        <w:rPr>
          <w:rFonts w:ascii="Calibri" w:hAnsi="Calibri" w:cs="Calibri"/>
        </w:rPr>
        <w:t>, 253: 121284. https://doi.org/10.1016/j.watres.2024.121284.</w:t>
      </w:r>
    </w:p>
    <w:p w14:paraId="780534EC" w14:textId="5628E445" w:rsidR="00B46E8E" w:rsidRPr="00B46E8E" w:rsidRDefault="00FC746B" w:rsidP="00B46E8E">
      <w:pPr>
        <w:rPr>
          <w:lang w:val="en-GB"/>
        </w:rPr>
      </w:pPr>
      <w:r>
        <w:rPr>
          <w:lang w:val="en-GB"/>
        </w:rPr>
        <w:fldChar w:fldCharType="end"/>
      </w:r>
    </w:p>
    <w:p w14:paraId="3DECA3E6" w14:textId="65DFB163" w:rsidR="00F91C97" w:rsidRPr="00302E71" w:rsidRDefault="00F91C97" w:rsidP="00885554">
      <w:pPr>
        <w:spacing w:before="60"/>
        <w:ind w:left="284" w:hanging="284"/>
        <w:rPr>
          <w:rFonts w:cstheme="minorHAnsi"/>
          <w:lang w:val="en-US"/>
        </w:rPr>
      </w:pPr>
    </w:p>
    <w:sectPr w:rsidR="00F91C97" w:rsidRPr="00302E71" w:rsidSect="00406F9D">
      <w:headerReference w:type="even" r:id="rId13"/>
      <w:headerReference w:type="default" r:id="rId14"/>
      <w:footerReference w:type="even" r:id="rId15"/>
      <w:footerReference w:type="default" r:id="rId16"/>
      <w:pgSz w:w="11906" w:h="16838" w:code="9"/>
      <w:pgMar w:top="1417" w:right="1417" w:bottom="1417" w:left="1417" w:header="850" w:footer="850" w:gutter="0"/>
      <w:paperSrc w:firs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ADC46" w14:textId="77777777" w:rsidR="002854FB" w:rsidRDefault="002854FB" w:rsidP="005667E5">
      <w:r>
        <w:separator/>
      </w:r>
    </w:p>
    <w:p w14:paraId="64A15C11" w14:textId="77777777" w:rsidR="002854FB" w:rsidRDefault="002854FB"/>
  </w:endnote>
  <w:endnote w:type="continuationSeparator" w:id="0">
    <w:p w14:paraId="05A238DD" w14:textId="77777777" w:rsidR="002854FB" w:rsidRDefault="002854FB" w:rsidP="005667E5">
      <w:r>
        <w:continuationSeparator/>
      </w:r>
    </w:p>
    <w:p w14:paraId="3B6C2710" w14:textId="77777777" w:rsidR="002854FB" w:rsidRDefault="002854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B30E8" w14:textId="77777777" w:rsidR="00370415" w:rsidRPr="00E04432" w:rsidRDefault="00370415" w:rsidP="00786072">
    <w:pPr>
      <w:pBdr>
        <w:top w:val="single" w:sz="4" w:space="1" w:color="auto"/>
      </w:pBdr>
      <w:jc w:val="left"/>
      <w:rPr>
        <w:sz w:val="16"/>
      </w:rPr>
    </w:pPr>
    <w:r w:rsidRPr="00E04432">
      <w:rPr>
        <w:sz w:val="16"/>
      </w:rPr>
      <w:fldChar w:fldCharType="begin"/>
    </w:r>
    <w:r w:rsidRPr="00E04432">
      <w:rPr>
        <w:sz w:val="16"/>
      </w:rPr>
      <w:instrText xml:space="preserve"> PAGE </w:instrText>
    </w:r>
    <w:r w:rsidRPr="00E04432">
      <w:rPr>
        <w:sz w:val="16"/>
      </w:rPr>
      <w:fldChar w:fldCharType="separate"/>
    </w:r>
    <w:r w:rsidR="000A7243">
      <w:rPr>
        <w:noProof/>
        <w:sz w:val="16"/>
      </w:rPr>
      <w:t>2</w:t>
    </w:r>
    <w:r w:rsidRPr="00E04432">
      <w:rPr>
        <w:sz w:val="16"/>
      </w:rPr>
      <w:fldChar w:fldCharType="end"/>
    </w:r>
  </w:p>
  <w:p w14:paraId="548FF937" w14:textId="77777777" w:rsidR="007C5057" w:rsidRDefault="007C505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01EB9" w14:textId="77777777" w:rsidR="00370415" w:rsidRPr="00E04432" w:rsidRDefault="00370415" w:rsidP="007073B8">
    <w:pPr>
      <w:pBdr>
        <w:top w:val="single" w:sz="4" w:space="1" w:color="auto"/>
      </w:pBdr>
      <w:jc w:val="right"/>
      <w:rPr>
        <w:sz w:val="16"/>
      </w:rPr>
    </w:pPr>
    <w:r w:rsidRPr="00E04432">
      <w:rPr>
        <w:sz w:val="16"/>
      </w:rPr>
      <w:fldChar w:fldCharType="begin"/>
    </w:r>
    <w:r w:rsidRPr="00E04432">
      <w:rPr>
        <w:sz w:val="16"/>
      </w:rPr>
      <w:instrText xml:space="preserve"> PAGE </w:instrText>
    </w:r>
    <w:r w:rsidRPr="00E04432">
      <w:rPr>
        <w:sz w:val="16"/>
      </w:rPr>
      <w:fldChar w:fldCharType="separate"/>
    </w:r>
    <w:r w:rsidR="000A7243">
      <w:rPr>
        <w:noProof/>
        <w:sz w:val="16"/>
      </w:rPr>
      <w:t>1</w:t>
    </w:r>
    <w:r w:rsidRPr="00E04432">
      <w:rPr>
        <w:sz w:val="16"/>
      </w:rPr>
      <w:fldChar w:fldCharType="end"/>
    </w:r>
  </w:p>
  <w:p w14:paraId="076751A3" w14:textId="77777777" w:rsidR="007C5057" w:rsidRDefault="007C505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89A48" w14:textId="77777777" w:rsidR="002854FB" w:rsidRDefault="002854FB" w:rsidP="005667E5">
      <w:r>
        <w:separator/>
      </w:r>
    </w:p>
    <w:p w14:paraId="2253AC2D" w14:textId="77777777" w:rsidR="002854FB" w:rsidRDefault="002854FB"/>
  </w:footnote>
  <w:footnote w:type="continuationSeparator" w:id="0">
    <w:p w14:paraId="64DE04B9" w14:textId="77777777" w:rsidR="002854FB" w:rsidRDefault="002854FB" w:rsidP="005667E5">
      <w:r>
        <w:continuationSeparator/>
      </w:r>
    </w:p>
    <w:p w14:paraId="34681DAD" w14:textId="77777777" w:rsidR="002854FB" w:rsidRDefault="002854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E1621" w14:textId="77777777" w:rsidR="00370415" w:rsidRPr="0019193B" w:rsidRDefault="00370415" w:rsidP="005D6F11">
    <w:pPr>
      <w:pStyle w:val="en-tte"/>
      <w:ind w:left="0" w:firstLine="0"/>
      <w:jc w:val="left"/>
    </w:pPr>
  </w:p>
  <w:p w14:paraId="68D3A87B" w14:textId="77777777" w:rsidR="007C5057" w:rsidRDefault="007C505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576FC" w14:textId="0AE7F88F" w:rsidR="00370415" w:rsidRPr="009D500F" w:rsidRDefault="009D500F" w:rsidP="009D500F">
    <w:pPr>
      <w:pStyle w:val="Header"/>
      <w:pBdr>
        <w:bottom w:val="single" w:sz="4" w:space="1" w:color="auto"/>
      </w:pBdr>
      <w:jc w:val="center"/>
      <w:rPr>
        <w:rFonts w:cstheme="minorHAnsi"/>
        <w:b/>
        <w:color w:val="00708E"/>
        <w:sz w:val="20"/>
      </w:rPr>
    </w:pPr>
    <w:r w:rsidRPr="009D500F">
      <w:rPr>
        <w:rFonts w:cstheme="minorHAnsi"/>
        <w:b/>
        <w:color w:val="00708E"/>
        <w:sz w:val="20"/>
      </w:rPr>
      <w:t>NOVATECH 202</w:t>
    </w:r>
    <w:r w:rsidR="00061D24">
      <w:rPr>
        <w:rFonts w:cstheme="minorHAnsi"/>
        <w:b/>
        <w:color w:val="00708E"/>
        <w:sz w:val="20"/>
      </w:rPr>
      <w:t>6</w:t>
    </w:r>
  </w:p>
  <w:p w14:paraId="66126282" w14:textId="77777777" w:rsidR="007C5057" w:rsidRDefault="007C50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0E1844"/>
    <w:multiLevelType w:val="multilevel"/>
    <w:tmpl w:val="25D48DB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45756730"/>
    <w:multiLevelType w:val="multilevel"/>
    <w:tmpl w:val="7474E56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4FC74BC1"/>
    <w:multiLevelType w:val="hybridMultilevel"/>
    <w:tmpl w:val="7284A722"/>
    <w:lvl w:ilvl="0" w:tplc="5058AD74">
      <w:start w:val="1"/>
      <w:numFmt w:val="bullet"/>
      <w:pStyle w:val="Normaltir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754B00CB"/>
    <w:multiLevelType w:val="hybridMultilevel"/>
    <w:tmpl w:val="202CAA10"/>
    <w:lvl w:ilvl="0" w:tplc="06F0A7B8">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C436E84"/>
    <w:multiLevelType w:val="hybridMultilevel"/>
    <w:tmpl w:val="FEB2A676"/>
    <w:lvl w:ilvl="0" w:tplc="45FE9670">
      <w:numFmt w:val="bullet"/>
      <w:lvlText w:val="-"/>
      <w:lvlJc w:val="left"/>
      <w:pPr>
        <w:tabs>
          <w:tab w:val="num" w:pos="360"/>
        </w:tabs>
        <w:ind w:left="360" w:hanging="360"/>
      </w:pPr>
      <w:rPr>
        <w:rFonts w:ascii="Arial" w:eastAsia="Times New Roman" w:hAnsi="Arial" w:cs="Arial"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num w:numId="1" w16cid:durableId="1153374245">
    <w:abstractNumId w:val="1"/>
  </w:num>
  <w:num w:numId="2" w16cid:durableId="728966107">
    <w:abstractNumId w:val="0"/>
  </w:num>
  <w:num w:numId="3" w16cid:durableId="384642938">
    <w:abstractNumId w:val="4"/>
  </w:num>
  <w:num w:numId="4" w16cid:durableId="502670478">
    <w:abstractNumId w:val="2"/>
  </w:num>
  <w:num w:numId="5" w16cid:durableId="7553711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stylePaneSortMethod w:val="0000"/>
  <w:trackRevisions/>
  <w:defaultTabStop w:val="708"/>
  <w:hyphenationZone w:val="425"/>
  <w:evenAndOddHeaders/>
  <w:drawingGridHorizontalSpacing w:val="10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1BFD"/>
    <w:rsid w:val="00004C70"/>
    <w:rsid w:val="000077EB"/>
    <w:rsid w:val="00014170"/>
    <w:rsid w:val="00017908"/>
    <w:rsid w:val="00023D54"/>
    <w:rsid w:val="00023E55"/>
    <w:rsid w:val="00024720"/>
    <w:rsid w:val="000247EC"/>
    <w:rsid w:val="0003175F"/>
    <w:rsid w:val="0004114D"/>
    <w:rsid w:val="00047A0F"/>
    <w:rsid w:val="00061D24"/>
    <w:rsid w:val="000673E1"/>
    <w:rsid w:val="0007213E"/>
    <w:rsid w:val="0008016D"/>
    <w:rsid w:val="00090491"/>
    <w:rsid w:val="0009564F"/>
    <w:rsid w:val="00096774"/>
    <w:rsid w:val="000A1C22"/>
    <w:rsid w:val="000A3C26"/>
    <w:rsid w:val="000A7243"/>
    <w:rsid w:val="000B3BA0"/>
    <w:rsid w:val="000B548D"/>
    <w:rsid w:val="000C083E"/>
    <w:rsid w:val="000C2B9E"/>
    <w:rsid w:val="000C4446"/>
    <w:rsid w:val="000C49AF"/>
    <w:rsid w:val="000D0F2E"/>
    <w:rsid w:val="000D4F2D"/>
    <w:rsid w:val="000D76EC"/>
    <w:rsid w:val="000F1507"/>
    <w:rsid w:val="0010568F"/>
    <w:rsid w:val="00130FCD"/>
    <w:rsid w:val="00133759"/>
    <w:rsid w:val="001363B0"/>
    <w:rsid w:val="00146B15"/>
    <w:rsid w:val="0015113E"/>
    <w:rsid w:val="00151333"/>
    <w:rsid w:val="0015371A"/>
    <w:rsid w:val="001811E3"/>
    <w:rsid w:val="00183221"/>
    <w:rsid w:val="00183BB7"/>
    <w:rsid w:val="0018708B"/>
    <w:rsid w:val="0019193B"/>
    <w:rsid w:val="001D4604"/>
    <w:rsid w:val="001E43CD"/>
    <w:rsid w:val="001F5E1D"/>
    <w:rsid w:val="001F6BF6"/>
    <w:rsid w:val="00203239"/>
    <w:rsid w:val="00205B6A"/>
    <w:rsid w:val="00211FED"/>
    <w:rsid w:val="00232361"/>
    <w:rsid w:val="00233592"/>
    <w:rsid w:val="00267FA8"/>
    <w:rsid w:val="0027609F"/>
    <w:rsid w:val="00283078"/>
    <w:rsid w:val="002854FB"/>
    <w:rsid w:val="002A73B5"/>
    <w:rsid w:val="002B1002"/>
    <w:rsid w:val="002B1E1B"/>
    <w:rsid w:val="002B7BA8"/>
    <w:rsid w:val="002B7E55"/>
    <w:rsid w:val="002C3043"/>
    <w:rsid w:val="002C4264"/>
    <w:rsid w:val="002C7927"/>
    <w:rsid w:val="002D0001"/>
    <w:rsid w:val="002D3B36"/>
    <w:rsid w:val="002D4120"/>
    <w:rsid w:val="002D58F4"/>
    <w:rsid w:val="002E0D12"/>
    <w:rsid w:val="002E0E07"/>
    <w:rsid w:val="002E7E95"/>
    <w:rsid w:val="002F4ADF"/>
    <w:rsid w:val="002F6454"/>
    <w:rsid w:val="00301EA4"/>
    <w:rsid w:val="00302E71"/>
    <w:rsid w:val="00305CB9"/>
    <w:rsid w:val="003112BB"/>
    <w:rsid w:val="00312608"/>
    <w:rsid w:val="003131CC"/>
    <w:rsid w:val="00317057"/>
    <w:rsid w:val="00325332"/>
    <w:rsid w:val="00326D40"/>
    <w:rsid w:val="003529A4"/>
    <w:rsid w:val="0035319E"/>
    <w:rsid w:val="003569E0"/>
    <w:rsid w:val="00370415"/>
    <w:rsid w:val="003727FF"/>
    <w:rsid w:val="003779B8"/>
    <w:rsid w:val="0038231F"/>
    <w:rsid w:val="00386C6E"/>
    <w:rsid w:val="00397B39"/>
    <w:rsid w:val="003A0653"/>
    <w:rsid w:val="003B0D92"/>
    <w:rsid w:val="003B26EA"/>
    <w:rsid w:val="003B2D26"/>
    <w:rsid w:val="003B3899"/>
    <w:rsid w:val="003B43B7"/>
    <w:rsid w:val="003B46D4"/>
    <w:rsid w:val="003C1E13"/>
    <w:rsid w:val="003C48A3"/>
    <w:rsid w:val="003C6BB7"/>
    <w:rsid w:val="003D3ED9"/>
    <w:rsid w:val="003D6BB4"/>
    <w:rsid w:val="003E33A4"/>
    <w:rsid w:val="003E3E1F"/>
    <w:rsid w:val="003E7590"/>
    <w:rsid w:val="003F54AF"/>
    <w:rsid w:val="0040568A"/>
    <w:rsid w:val="00406F9D"/>
    <w:rsid w:val="004114B5"/>
    <w:rsid w:val="00411693"/>
    <w:rsid w:val="0041327B"/>
    <w:rsid w:val="00417639"/>
    <w:rsid w:val="004248DF"/>
    <w:rsid w:val="00425557"/>
    <w:rsid w:val="0043230C"/>
    <w:rsid w:val="00434648"/>
    <w:rsid w:val="004346C7"/>
    <w:rsid w:val="00453152"/>
    <w:rsid w:val="004539CA"/>
    <w:rsid w:val="00453BFC"/>
    <w:rsid w:val="0045512B"/>
    <w:rsid w:val="00457E2A"/>
    <w:rsid w:val="004610DF"/>
    <w:rsid w:val="00461A1F"/>
    <w:rsid w:val="0046464F"/>
    <w:rsid w:val="00483320"/>
    <w:rsid w:val="00486F6C"/>
    <w:rsid w:val="004A062A"/>
    <w:rsid w:val="004A1C82"/>
    <w:rsid w:val="004B0CFC"/>
    <w:rsid w:val="004B290B"/>
    <w:rsid w:val="004B77DF"/>
    <w:rsid w:val="004B7F2E"/>
    <w:rsid w:val="004B7F4F"/>
    <w:rsid w:val="004C3948"/>
    <w:rsid w:val="004C3CD6"/>
    <w:rsid w:val="004D2E73"/>
    <w:rsid w:val="004E17EC"/>
    <w:rsid w:val="004E1867"/>
    <w:rsid w:val="004E25C2"/>
    <w:rsid w:val="004E35A1"/>
    <w:rsid w:val="004E6436"/>
    <w:rsid w:val="004F5EC0"/>
    <w:rsid w:val="004F7915"/>
    <w:rsid w:val="005018E6"/>
    <w:rsid w:val="00506D0B"/>
    <w:rsid w:val="00510211"/>
    <w:rsid w:val="00512477"/>
    <w:rsid w:val="0051578B"/>
    <w:rsid w:val="005246F3"/>
    <w:rsid w:val="00527BD5"/>
    <w:rsid w:val="00535BAC"/>
    <w:rsid w:val="00540316"/>
    <w:rsid w:val="00544B3C"/>
    <w:rsid w:val="00544E67"/>
    <w:rsid w:val="00547F41"/>
    <w:rsid w:val="00552EC0"/>
    <w:rsid w:val="005561AA"/>
    <w:rsid w:val="00556B7B"/>
    <w:rsid w:val="00564F1A"/>
    <w:rsid w:val="005663F1"/>
    <w:rsid w:val="005667E5"/>
    <w:rsid w:val="0056699D"/>
    <w:rsid w:val="00566E5D"/>
    <w:rsid w:val="00566FFE"/>
    <w:rsid w:val="00567739"/>
    <w:rsid w:val="005737FD"/>
    <w:rsid w:val="005825D0"/>
    <w:rsid w:val="00592CDD"/>
    <w:rsid w:val="005A6353"/>
    <w:rsid w:val="005B08FB"/>
    <w:rsid w:val="005B0D61"/>
    <w:rsid w:val="005C2924"/>
    <w:rsid w:val="005C3F26"/>
    <w:rsid w:val="005D0014"/>
    <w:rsid w:val="005D2BCD"/>
    <w:rsid w:val="005D6F11"/>
    <w:rsid w:val="005D7B81"/>
    <w:rsid w:val="005E5F2C"/>
    <w:rsid w:val="005F1610"/>
    <w:rsid w:val="005F4410"/>
    <w:rsid w:val="005F60FC"/>
    <w:rsid w:val="0061097C"/>
    <w:rsid w:val="00625DE6"/>
    <w:rsid w:val="00632EA6"/>
    <w:rsid w:val="00633760"/>
    <w:rsid w:val="00634155"/>
    <w:rsid w:val="0064127C"/>
    <w:rsid w:val="0064720D"/>
    <w:rsid w:val="00647EFF"/>
    <w:rsid w:val="00655191"/>
    <w:rsid w:val="00662A4A"/>
    <w:rsid w:val="00676597"/>
    <w:rsid w:val="0068570C"/>
    <w:rsid w:val="0069786A"/>
    <w:rsid w:val="006A683B"/>
    <w:rsid w:val="006C25D2"/>
    <w:rsid w:val="006C46A8"/>
    <w:rsid w:val="006C68AE"/>
    <w:rsid w:val="006D055D"/>
    <w:rsid w:val="006D3D2D"/>
    <w:rsid w:val="006D7DF0"/>
    <w:rsid w:val="006E031A"/>
    <w:rsid w:val="006E1F41"/>
    <w:rsid w:val="006E29C3"/>
    <w:rsid w:val="006E6B1D"/>
    <w:rsid w:val="00700E48"/>
    <w:rsid w:val="007072D6"/>
    <w:rsid w:val="007073B8"/>
    <w:rsid w:val="007151C2"/>
    <w:rsid w:val="0072213F"/>
    <w:rsid w:val="00733AC9"/>
    <w:rsid w:val="00734B5B"/>
    <w:rsid w:val="00735EBE"/>
    <w:rsid w:val="00735FC9"/>
    <w:rsid w:val="0073739A"/>
    <w:rsid w:val="00737F5E"/>
    <w:rsid w:val="00742424"/>
    <w:rsid w:val="00745589"/>
    <w:rsid w:val="007460AE"/>
    <w:rsid w:val="00746B9A"/>
    <w:rsid w:val="007513E2"/>
    <w:rsid w:val="00753BAF"/>
    <w:rsid w:val="00765279"/>
    <w:rsid w:val="00767C11"/>
    <w:rsid w:val="007702B2"/>
    <w:rsid w:val="00770505"/>
    <w:rsid w:val="0078263D"/>
    <w:rsid w:val="00782893"/>
    <w:rsid w:val="00786072"/>
    <w:rsid w:val="0079199C"/>
    <w:rsid w:val="007923E9"/>
    <w:rsid w:val="00794143"/>
    <w:rsid w:val="0079556C"/>
    <w:rsid w:val="007A6F46"/>
    <w:rsid w:val="007B0998"/>
    <w:rsid w:val="007B1043"/>
    <w:rsid w:val="007B7EBB"/>
    <w:rsid w:val="007C1176"/>
    <w:rsid w:val="007C2789"/>
    <w:rsid w:val="007C5057"/>
    <w:rsid w:val="007C5E3C"/>
    <w:rsid w:val="007C7E52"/>
    <w:rsid w:val="007D2884"/>
    <w:rsid w:val="007D42CD"/>
    <w:rsid w:val="007D6182"/>
    <w:rsid w:val="007E2DC4"/>
    <w:rsid w:val="007E692C"/>
    <w:rsid w:val="007F0521"/>
    <w:rsid w:val="007F24E2"/>
    <w:rsid w:val="007F50F6"/>
    <w:rsid w:val="007F6609"/>
    <w:rsid w:val="0080091A"/>
    <w:rsid w:val="00802D46"/>
    <w:rsid w:val="00806EDD"/>
    <w:rsid w:val="00807A4B"/>
    <w:rsid w:val="008119AD"/>
    <w:rsid w:val="00820A7F"/>
    <w:rsid w:val="008218B2"/>
    <w:rsid w:val="00823757"/>
    <w:rsid w:val="008278E5"/>
    <w:rsid w:val="0083081E"/>
    <w:rsid w:val="008316AB"/>
    <w:rsid w:val="00835EE1"/>
    <w:rsid w:val="008371CF"/>
    <w:rsid w:val="00851822"/>
    <w:rsid w:val="0085290D"/>
    <w:rsid w:val="008544BB"/>
    <w:rsid w:val="00860F8B"/>
    <w:rsid w:val="00867E18"/>
    <w:rsid w:val="008724F2"/>
    <w:rsid w:val="00872B7D"/>
    <w:rsid w:val="00873401"/>
    <w:rsid w:val="00883827"/>
    <w:rsid w:val="008839C5"/>
    <w:rsid w:val="00885554"/>
    <w:rsid w:val="0089579F"/>
    <w:rsid w:val="008A394D"/>
    <w:rsid w:val="008B4B03"/>
    <w:rsid w:val="008C6D20"/>
    <w:rsid w:val="008D0C7A"/>
    <w:rsid w:val="008D17E6"/>
    <w:rsid w:val="008D42CF"/>
    <w:rsid w:val="008F1D7F"/>
    <w:rsid w:val="009008EA"/>
    <w:rsid w:val="00903A40"/>
    <w:rsid w:val="00904C1C"/>
    <w:rsid w:val="009055A2"/>
    <w:rsid w:val="0091273A"/>
    <w:rsid w:val="009127A1"/>
    <w:rsid w:val="009132E7"/>
    <w:rsid w:val="0091495A"/>
    <w:rsid w:val="00916876"/>
    <w:rsid w:val="009214AC"/>
    <w:rsid w:val="0092501E"/>
    <w:rsid w:val="009266FA"/>
    <w:rsid w:val="009329C1"/>
    <w:rsid w:val="009331FE"/>
    <w:rsid w:val="00934566"/>
    <w:rsid w:val="00936B51"/>
    <w:rsid w:val="00937E1E"/>
    <w:rsid w:val="00940518"/>
    <w:rsid w:val="00944A66"/>
    <w:rsid w:val="009533A0"/>
    <w:rsid w:val="0096170A"/>
    <w:rsid w:val="009619F0"/>
    <w:rsid w:val="009630AC"/>
    <w:rsid w:val="00964254"/>
    <w:rsid w:val="00966FA5"/>
    <w:rsid w:val="009729BD"/>
    <w:rsid w:val="00986FA9"/>
    <w:rsid w:val="009909ED"/>
    <w:rsid w:val="00993447"/>
    <w:rsid w:val="009937B7"/>
    <w:rsid w:val="009A5297"/>
    <w:rsid w:val="009B0C37"/>
    <w:rsid w:val="009B7B7E"/>
    <w:rsid w:val="009C731C"/>
    <w:rsid w:val="009C7E5B"/>
    <w:rsid w:val="009D500F"/>
    <w:rsid w:val="009D6B73"/>
    <w:rsid w:val="009E6576"/>
    <w:rsid w:val="009E71D1"/>
    <w:rsid w:val="009F0073"/>
    <w:rsid w:val="009F47CF"/>
    <w:rsid w:val="009F4A88"/>
    <w:rsid w:val="009F6338"/>
    <w:rsid w:val="00A02C75"/>
    <w:rsid w:val="00A04246"/>
    <w:rsid w:val="00A055BB"/>
    <w:rsid w:val="00A05F03"/>
    <w:rsid w:val="00A50C9E"/>
    <w:rsid w:val="00A52892"/>
    <w:rsid w:val="00A53096"/>
    <w:rsid w:val="00A532BE"/>
    <w:rsid w:val="00A57939"/>
    <w:rsid w:val="00A60419"/>
    <w:rsid w:val="00A605BF"/>
    <w:rsid w:val="00A62561"/>
    <w:rsid w:val="00A6477A"/>
    <w:rsid w:val="00A71C83"/>
    <w:rsid w:val="00A82998"/>
    <w:rsid w:val="00A90DC9"/>
    <w:rsid w:val="00A9340B"/>
    <w:rsid w:val="00A9667F"/>
    <w:rsid w:val="00A97795"/>
    <w:rsid w:val="00AA041A"/>
    <w:rsid w:val="00AA1C3A"/>
    <w:rsid w:val="00AB4F9C"/>
    <w:rsid w:val="00AB50A2"/>
    <w:rsid w:val="00AC2A20"/>
    <w:rsid w:val="00AC4192"/>
    <w:rsid w:val="00AE10CD"/>
    <w:rsid w:val="00AE61B3"/>
    <w:rsid w:val="00AE69E9"/>
    <w:rsid w:val="00AE7AAF"/>
    <w:rsid w:val="00AF14E0"/>
    <w:rsid w:val="00AF2B3B"/>
    <w:rsid w:val="00B001C7"/>
    <w:rsid w:val="00B06D54"/>
    <w:rsid w:val="00B11AC2"/>
    <w:rsid w:val="00B164E2"/>
    <w:rsid w:val="00B16A5A"/>
    <w:rsid w:val="00B214BB"/>
    <w:rsid w:val="00B22C83"/>
    <w:rsid w:val="00B24B08"/>
    <w:rsid w:val="00B266A6"/>
    <w:rsid w:val="00B26BA7"/>
    <w:rsid w:val="00B309B8"/>
    <w:rsid w:val="00B34B3F"/>
    <w:rsid w:val="00B35F31"/>
    <w:rsid w:val="00B46E8E"/>
    <w:rsid w:val="00B507FC"/>
    <w:rsid w:val="00B55590"/>
    <w:rsid w:val="00B565E1"/>
    <w:rsid w:val="00B6212A"/>
    <w:rsid w:val="00B62F08"/>
    <w:rsid w:val="00B70A26"/>
    <w:rsid w:val="00B76FD1"/>
    <w:rsid w:val="00B93034"/>
    <w:rsid w:val="00BA135E"/>
    <w:rsid w:val="00BA2429"/>
    <w:rsid w:val="00BA3F4F"/>
    <w:rsid w:val="00BB11FE"/>
    <w:rsid w:val="00BB1267"/>
    <w:rsid w:val="00BC636C"/>
    <w:rsid w:val="00BD0C5D"/>
    <w:rsid w:val="00BD2E55"/>
    <w:rsid w:val="00BD5C92"/>
    <w:rsid w:val="00BD5DA1"/>
    <w:rsid w:val="00BE4E46"/>
    <w:rsid w:val="00BF7D44"/>
    <w:rsid w:val="00C0106F"/>
    <w:rsid w:val="00C03DC7"/>
    <w:rsid w:val="00C06F59"/>
    <w:rsid w:val="00C0789A"/>
    <w:rsid w:val="00C10FB4"/>
    <w:rsid w:val="00C11AE0"/>
    <w:rsid w:val="00C11F79"/>
    <w:rsid w:val="00C12F6E"/>
    <w:rsid w:val="00C149A9"/>
    <w:rsid w:val="00C1752A"/>
    <w:rsid w:val="00C2487F"/>
    <w:rsid w:val="00C26503"/>
    <w:rsid w:val="00C31BFD"/>
    <w:rsid w:val="00C3790B"/>
    <w:rsid w:val="00C420ED"/>
    <w:rsid w:val="00C439AB"/>
    <w:rsid w:val="00C57082"/>
    <w:rsid w:val="00C62199"/>
    <w:rsid w:val="00C636C8"/>
    <w:rsid w:val="00C71C8B"/>
    <w:rsid w:val="00C74FFD"/>
    <w:rsid w:val="00C808DF"/>
    <w:rsid w:val="00C842E0"/>
    <w:rsid w:val="00C942DC"/>
    <w:rsid w:val="00CA1E44"/>
    <w:rsid w:val="00CA29E6"/>
    <w:rsid w:val="00CB3016"/>
    <w:rsid w:val="00CB3ED7"/>
    <w:rsid w:val="00CB6363"/>
    <w:rsid w:val="00CB7355"/>
    <w:rsid w:val="00CC00D8"/>
    <w:rsid w:val="00CD1934"/>
    <w:rsid w:val="00CD4189"/>
    <w:rsid w:val="00CF65B0"/>
    <w:rsid w:val="00D13121"/>
    <w:rsid w:val="00D14845"/>
    <w:rsid w:val="00D21E84"/>
    <w:rsid w:val="00D223D9"/>
    <w:rsid w:val="00D25C70"/>
    <w:rsid w:val="00D27CD7"/>
    <w:rsid w:val="00D3312B"/>
    <w:rsid w:val="00D51BCE"/>
    <w:rsid w:val="00D54117"/>
    <w:rsid w:val="00D70620"/>
    <w:rsid w:val="00D742A4"/>
    <w:rsid w:val="00D7441A"/>
    <w:rsid w:val="00D77F96"/>
    <w:rsid w:val="00D807E9"/>
    <w:rsid w:val="00D9071B"/>
    <w:rsid w:val="00D91AA8"/>
    <w:rsid w:val="00D92403"/>
    <w:rsid w:val="00D939C2"/>
    <w:rsid w:val="00D954DC"/>
    <w:rsid w:val="00DA7D7D"/>
    <w:rsid w:val="00DB2224"/>
    <w:rsid w:val="00DB743B"/>
    <w:rsid w:val="00DC3C53"/>
    <w:rsid w:val="00DC4FD1"/>
    <w:rsid w:val="00DC7532"/>
    <w:rsid w:val="00DD5F2E"/>
    <w:rsid w:val="00DD761A"/>
    <w:rsid w:val="00DE138D"/>
    <w:rsid w:val="00DE20F1"/>
    <w:rsid w:val="00DE2E4C"/>
    <w:rsid w:val="00DE549A"/>
    <w:rsid w:val="00DE7F71"/>
    <w:rsid w:val="00DF302C"/>
    <w:rsid w:val="00DF5AF6"/>
    <w:rsid w:val="00E014CA"/>
    <w:rsid w:val="00E04432"/>
    <w:rsid w:val="00E0712B"/>
    <w:rsid w:val="00E11148"/>
    <w:rsid w:val="00E14989"/>
    <w:rsid w:val="00E1552A"/>
    <w:rsid w:val="00E15786"/>
    <w:rsid w:val="00E17A05"/>
    <w:rsid w:val="00E22370"/>
    <w:rsid w:val="00E3115F"/>
    <w:rsid w:val="00E378A9"/>
    <w:rsid w:val="00E378C7"/>
    <w:rsid w:val="00E4228B"/>
    <w:rsid w:val="00E43C92"/>
    <w:rsid w:val="00E4615B"/>
    <w:rsid w:val="00E471E8"/>
    <w:rsid w:val="00E615B3"/>
    <w:rsid w:val="00E629E5"/>
    <w:rsid w:val="00E73803"/>
    <w:rsid w:val="00E761CD"/>
    <w:rsid w:val="00E87F40"/>
    <w:rsid w:val="00E92D33"/>
    <w:rsid w:val="00E977AD"/>
    <w:rsid w:val="00EA1D14"/>
    <w:rsid w:val="00EA3EE2"/>
    <w:rsid w:val="00EA64D5"/>
    <w:rsid w:val="00EB6DC6"/>
    <w:rsid w:val="00EB7E28"/>
    <w:rsid w:val="00ED4A3E"/>
    <w:rsid w:val="00EE5DF7"/>
    <w:rsid w:val="00EF04EC"/>
    <w:rsid w:val="00EF2C68"/>
    <w:rsid w:val="00EF5EB6"/>
    <w:rsid w:val="00F0722A"/>
    <w:rsid w:val="00F11121"/>
    <w:rsid w:val="00F16365"/>
    <w:rsid w:val="00F21DEB"/>
    <w:rsid w:val="00F40E5A"/>
    <w:rsid w:val="00F434C4"/>
    <w:rsid w:val="00F436A0"/>
    <w:rsid w:val="00F4470C"/>
    <w:rsid w:val="00F44E4E"/>
    <w:rsid w:val="00F503B4"/>
    <w:rsid w:val="00F54011"/>
    <w:rsid w:val="00F56BB6"/>
    <w:rsid w:val="00F63E4E"/>
    <w:rsid w:val="00F6789D"/>
    <w:rsid w:val="00F747BF"/>
    <w:rsid w:val="00F84111"/>
    <w:rsid w:val="00F90869"/>
    <w:rsid w:val="00F91C97"/>
    <w:rsid w:val="00F931E3"/>
    <w:rsid w:val="00F93B74"/>
    <w:rsid w:val="00FA2E42"/>
    <w:rsid w:val="00FA64EA"/>
    <w:rsid w:val="00FB5748"/>
    <w:rsid w:val="00FB78A6"/>
    <w:rsid w:val="00FC52F9"/>
    <w:rsid w:val="00FC746B"/>
    <w:rsid w:val="00FD0C55"/>
    <w:rsid w:val="00FD403A"/>
    <w:rsid w:val="00FE0F8F"/>
    <w:rsid w:val="00FE31AA"/>
    <w:rsid w:val="00FE44BB"/>
    <w:rsid w:val="00FF28A9"/>
    <w:rsid w:val="00FF58A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877167"/>
  <w15:chartTrackingRefBased/>
  <w15:docId w15:val="{591F2A98-C2B3-41C4-9C12-90ED73B56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D24"/>
    <w:pPr>
      <w:widowControl w:val="0"/>
      <w:spacing w:before="120"/>
      <w:jc w:val="both"/>
    </w:pPr>
    <w:rPr>
      <w:rFonts w:asciiTheme="minorHAnsi" w:hAnsiTheme="minorHAnsi"/>
      <w:szCs w:val="24"/>
    </w:rPr>
  </w:style>
  <w:style w:type="paragraph" w:styleId="Heading1">
    <w:name w:val="heading 1"/>
    <w:basedOn w:val="Normal"/>
    <w:next w:val="Normal"/>
    <w:qFormat/>
    <w:rsid w:val="009D500F"/>
    <w:pPr>
      <w:keepNext/>
      <w:numPr>
        <w:numId w:val="1"/>
      </w:numPr>
      <w:spacing w:before="200"/>
      <w:outlineLvl w:val="0"/>
    </w:pPr>
    <w:rPr>
      <w:rFonts w:cstheme="minorHAnsi"/>
      <w:b/>
      <w:bCs/>
      <w:caps/>
      <w:color w:val="00708E"/>
      <w:sz w:val="24"/>
    </w:rPr>
  </w:style>
  <w:style w:type="paragraph" w:styleId="Heading2">
    <w:name w:val="heading 2"/>
    <w:basedOn w:val="Normal"/>
    <w:next w:val="Normal"/>
    <w:qFormat/>
    <w:rsid w:val="009D500F"/>
    <w:pPr>
      <w:keepNext/>
      <w:numPr>
        <w:ilvl w:val="1"/>
        <w:numId w:val="1"/>
      </w:numPr>
      <w:outlineLvl w:val="1"/>
    </w:pPr>
    <w:rPr>
      <w:rFonts w:cstheme="minorHAnsi"/>
      <w:b/>
      <w:bCs/>
      <w:color w:val="00B6CF"/>
      <w:sz w:val="24"/>
      <w:szCs w:val="28"/>
    </w:rPr>
  </w:style>
  <w:style w:type="paragraph" w:styleId="Heading3">
    <w:name w:val="heading 3"/>
    <w:basedOn w:val="Normal"/>
    <w:next w:val="Normal"/>
    <w:qFormat/>
    <w:rsid w:val="009D500F"/>
    <w:pPr>
      <w:keepNext/>
      <w:numPr>
        <w:ilvl w:val="2"/>
        <w:numId w:val="1"/>
      </w:numPr>
      <w:outlineLvl w:val="2"/>
    </w:pPr>
    <w:rPr>
      <w:rFonts w:cstheme="minorHAnsi"/>
      <w:b/>
      <w:bCs/>
      <w:i/>
      <w:color w:val="CF007F"/>
      <w:szCs w:val="26"/>
    </w:rPr>
  </w:style>
  <w:style w:type="paragraph" w:styleId="Heading4">
    <w:name w:val="heading 4"/>
    <w:basedOn w:val="Normal"/>
    <w:next w:val="Normal"/>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pPr>
      <w:numPr>
        <w:ilvl w:val="4"/>
        <w:numId w:val="1"/>
      </w:numPr>
      <w:spacing w:before="240" w:after="60"/>
      <w:outlineLvl w:val="4"/>
    </w:pPr>
    <w:rPr>
      <w:b/>
      <w:bCs/>
      <w:i/>
      <w:iCs/>
      <w:sz w:val="26"/>
      <w:szCs w:val="26"/>
    </w:rPr>
  </w:style>
  <w:style w:type="paragraph" w:styleId="Heading6">
    <w:name w:val="heading 6"/>
    <w:basedOn w:val="Normal"/>
    <w:next w:val="Normal"/>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pPr>
      <w:numPr>
        <w:ilvl w:val="6"/>
        <w:numId w:val="1"/>
      </w:numPr>
      <w:spacing w:before="240" w:after="60"/>
      <w:outlineLvl w:val="6"/>
    </w:pPr>
    <w:rPr>
      <w:rFonts w:ascii="Times New Roman" w:hAnsi="Times New Roman"/>
      <w:sz w:val="24"/>
    </w:rPr>
  </w:style>
  <w:style w:type="paragraph" w:styleId="Heading8">
    <w:name w:val="heading 8"/>
    <w:basedOn w:val="Normal"/>
    <w:next w:val="Normal"/>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406F9D"/>
    <w:pPr>
      <w:pBdr>
        <w:bottom w:val="single" w:sz="2" w:space="1" w:color="auto"/>
      </w:pBdr>
      <w:tabs>
        <w:tab w:val="center" w:pos="4536"/>
        <w:tab w:val="right" w:pos="9072"/>
      </w:tabs>
      <w:jc w:val="right"/>
    </w:pPr>
    <w:rPr>
      <w:sz w:val="16"/>
    </w:rPr>
  </w:style>
  <w:style w:type="paragraph" w:customStyle="1" w:styleId="0TitleTitre">
    <w:name w:val="0Title Titre"/>
    <w:basedOn w:val="Normal"/>
    <w:qFormat/>
    <w:rsid w:val="009D500F"/>
    <w:pPr>
      <w:ind w:left="1418" w:right="567"/>
      <w:jc w:val="left"/>
    </w:pPr>
    <w:rPr>
      <w:rFonts w:cstheme="minorHAnsi"/>
      <w:b/>
      <w:bCs/>
      <w:color w:val="00708E"/>
      <w:sz w:val="28"/>
    </w:rPr>
  </w:style>
  <w:style w:type="paragraph" w:customStyle="1" w:styleId="1Translation">
    <w:name w:val="1Translation"/>
    <w:basedOn w:val="Normal"/>
    <w:qFormat/>
    <w:rsid w:val="009D500F"/>
    <w:pPr>
      <w:ind w:left="1418" w:right="567"/>
      <w:jc w:val="left"/>
    </w:pPr>
    <w:rPr>
      <w:rFonts w:cstheme="minorHAnsi"/>
      <w:color w:val="00B6CF"/>
      <w:sz w:val="28"/>
      <w:lang w:val="en-GB"/>
    </w:rPr>
  </w:style>
  <w:style w:type="paragraph" w:customStyle="1" w:styleId="Legendes">
    <w:name w:val="Legendes"/>
    <w:basedOn w:val="Normal"/>
    <w:qFormat/>
    <w:rsid w:val="005667E5"/>
    <w:pPr>
      <w:jc w:val="center"/>
    </w:pPr>
    <w:rPr>
      <w:rFonts w:cs="Arial"/>
      <w:sz w:val="18"/>
    </w:rPr>
  </w:style>
  <w:style w:type="paragraph" w:customStyle="1" w:styleId="3names">
    <w:name w:val="3names"/>
    <w:basedOn w:val="1Translation"/>
    <w:qFormat/>
    <w:rsid w:val="009D500F"/>
    <w:rPr>
      <w:color w:val="CF007F"/>
      <w:sz w:val="24"/>
    </w:rPr>
  </w:style>
  <w:style w:type="character" w:styleId="Emphasis">
    <w:name w:val="Emphasis"/>
    <w:uiPriority w:val="20"/>
    <w:rsid w:val="00DE20F1"/>
    <w:rPr>
      <w:i/>
      <w:iCs/>
    </w:rPr>
  </w:style>
  <w:style w:type="paragraph" w:customStyle="1" w:styleId="Normaltiret">
    <w:name w:val="Normaltiret"/>
    <w:basedOn w:val="Normal"/>
    <w:qFormat/>
    <w:rsid w:val="009D500F"/>
    <w:pPr>
      <w:numPr>
        <w:numId w:val="4"/>
      </w:numPr>
    </w:pPr>
    <w:rPr>
      <w:rFonts w:cstheme="minorHAnsi"/>
    </w:rPr>
  </w:style>
  <w:style w:type="paragraph" w:customStyle="1" w:styleId="Biblio">
    <w:name w:val="Biblio"/>
    <w:basedOn w:val="Normal"/>
    <w:pPr>
      <w:spacing w:before="0"/>
      <w:ind w:left="284" w:hanging="284"/>
    </w:pPr>
    <w:rPr>
      <w:sz w:val="15"/>
      <w:lang w:val="en-GB"/>
    </w:rPr>
  </w:style>
  <w:style w:type="paragraph" w:styleId="Footer">
    <w:name w:val="footer"/>
    <w:basedOn w:val="Normal"/>
    <w:semiHidden/>
    <w:pPr>
      <w:tabs>
        <w:tab w:val="center" w:pos="4536"/>
        <w:tab w:val="right" w:pos="9072"/>
      </w:tabs>
    </w:pPr>
  </w:style>
  <w:style w:type="paragraph" w:styleId="Title">
    <w:name w:val="Title"/>
    <w:basedOn w:val="0TitleTitre"/>
    <w:next w:val="Normal"/>
    <w:link w:val="TitleChar"/>
    <w:uiPriority w:val="10"/>
    <w:qFormat/>
    <w:rsid w:val="008839C5"/>
    <w:pPr>
      <w:ind w:left="0"/>
    </w:pPr>
    <w:rPr>
      <w:sz w:val="24"/>
    </w:rPr>
  </w:style>
  <w:style w:type="paragraph" w:customStyle="1" w:styleId="titreanx">
    <w:name w:val="titreanx"/>
    <w:basedOn w:val="Heading1"/>
    <w:rsid w:val="00406F9D"/>
    <w:pPr>
      <w:numPr>
        <w:numId w:val="0"/>
      </w:numPr>
    </w:pPr>
    <w:rPr>
      <w:rFonts w:ascii="Arial" w:hAnsi="Arial"/>
    </w:rPr>
  </w:style>
  <w:style w:type="character" w:customStyle="1" w:styleId="TitleChar">
    <w:name w:val="Title Char"/>
    <w:link w:val="Title"/>
    <w:uiPriority w:val="10"/>
    <w:rsid w:val="008839C5"/>
    <w:rPr>
      <w:rFonts w:ascii="Arial" w:hAnsi="Arial" w:cs="Arial"/>
      <w:b/>
      <w:bCs/>
      <w:sz w:val="24"/>
      <w:szCs w:val="24"/>
    </w:rPr>
  </w:style>
  <w:style w:type="paragraph" w:styleId="Subtitle">
    <w:name w:val="Subtitle"/>
    <w:basedOn w:val="1Translation"/>
    <w:next w:val="Normal"/>
    <w:link w:val="SubtitleChar"/>
    <w:uiPriority w:val="11"/>
    <w:rsid w:val="0019193B"/>
    <w:pPr>
      <w:spacing w:after="120"/>
      <w:ind w:left="2835"/>
    </w:pPr>
    <w:rPr>
      <w:sz w:val="24"/>
    </w:rPr>
  </w:style>
  <w:style w:type="character" w:customStyle="1" w:styleId="SubtitleChar">
    <w:name w:val="Subtitle Char"/>
    <w:link w:val="Subtitle"/>
    <w:uiPriority w:val="11"/>
    <w:rsid w:val="0019193B"/>
    <w:rPr>
      <w:rFonts w:ascii="Arial" w:hAnsi="Arial"/>
      <w:sz w:val="24"/>
      <w:szCs w:val="24"/>
      <w:lang w:val="en-GB"/>
    </w:rPr>
  </w:style>
  <w:style w:type="paragraph" w:customStyle="1" w:styleId="en-tte">
    <w:name w:val="en-tête"/>
    <w:basedOn w:val="Normal"/>
    <w:link w:val="en-tteCar"/>
    <w:qFormat/>
    <w:rsid w:val="00406F9D"/>
    <w:pPr>
      <w:pBdr>
        <w:bottom w:val="single" w:sz="2" w:space="1" w:color="auto"/>
      </w:pBdr>
      <w:ind w:left="284" w:hanging="284"/>
      <w:jc w:val="right"/>
    </w:pPr>
    <w:rPr>
      <w:sz w:val="16"/>
    </w:rPr>
  </w:style>
  <w:style w:type="character" w:styleId="SubtleEmphasis">
    <w:name w:val="Subtle Emphasis"/>
    <w:uiPriority w:val="19"/>
    <w:rsid w:val="00DE20F1"/>
    <w:rPr>
      <w:rFonts w:ascii="Calibri" w:hAnsi="Calibri"/>
      <w:color w:val="548DD4"/>
    </w:rPr>
  </w:style>
  <w:style w:type="character" w:styleId="IntenseReference">
    <w:name w:val="Intense Reference"/>
    <w:uiPriority w:val="32"/>
    <w:qFormat/>
    <w:rsid w:val="00735EBE"/>
    <w:rPr>
      <w:sz w:val="18"/>
      <w:lang w:val="en-GB"/>
    </w:rPr>
  </w:style>
  <w:style w:type="paragraph" w:customStyle="1" w:styleId="4organisme">
    <w:name w:val="4organisme"/>
    <w:basedOn w:val="Normal"/>
    <w:link w:val="4organismeCar"/>
    <w:qFormat/>
    <w:rsid w:val="00397B39"/>
    <w:pPr>
      <w:spacing w:before="0"/>
      <w:ind w:left="1418" w:right="567"/>
      <w:jc w:val="left"/>
    </w:pPr>
  </w:style>
  <w:style w:type="character" w:customStyle="1" w:styleId="en-tteCar">
    <w:name w:val="en-tête Car"/>
    <w:link w:val="en-tte"/>
    <w:rsid w:val="00406F9D"/>
    <w:rPr>
      <w:rFonts w:ascii="Arial" w:hAnsi="Arial"/>
      <w:sz w:val="16"/>
      <w:szCs w:val="24"/>
    </w:rPr>
  </w:style>
  <w:style w:type="character" w:styleId="CommentReference">
    <w:name w:val="annotation reference"/>
    <w:uiPriority w:val="99"/>
    <w:semiHidden/>
    <w:unhideWhenUsed/>
    <w:rsid w:val="007B7EBB"/>
    <w:rPr>
      <w:sz w:val="16"/>
      <w:szCs w:val="16"/>
    </w:rPr>
  </w:style>
  <w:style w:type="character" w:customStyle="1" w:styleId="4organismeCar">
    <w:name w:val="4organisme Car"/>
    <w:link w:val="4organisme"/>
    <w:rsid w:val="00397B39"/>
    <w:rPr>
      <w:rFonts w:ascii="Arial" w:hAnsi="Arial"/>
      <w:szCs w:val="24"/>
    </w:rPr>
  </w:style>
  <w:style w:type="paragraph" w:styleId="CommentText">
    <w:name w:val="annotation text"/>
    <w:basedOn w:val="Normal"/>
    <w:link w:val="CommentTextChar"/>
    <w:uiPriority w:val="99"/>
    <w:semiHidden/>
    <w:unhideWhenUsed/>
    <w:rsid w:val="007B7EBB"/>
    <w:rPr>
      <w:szCs w:val="20"/>
    </w:rPr>
  </w:style>
  <w:style w:type="character" w:customStyle="1" w:styleId="CommentTextChar">
    <w:name w:val="Comment Text Char"/>
    <w:link w:val="CommentText"/>
    <w:uiPriority w:val="99"/>
    <w:semiHidden/>
    <w:rsid w:val="007B7EBB"/>
    <w:rPr>
      <w:rFonts w:ascii="Arial" w:hAnsi="Arial"/>
    </w:rPr>
  </w:style>
  <w:style w:type="paragraph" w:styleId="CommentSubject">
    <w:name w:val="annotation subject"/>
    <w:basedOn w:val="CommentText"/>
    <w:next w:val="CommentText"/>
    <w:link w:val="CommentSubjectChar"/>
    <w:uiPriority w:val="99"/>
    <w:semiHidden/>
    <w:unhideWhenUsed/>
    <w:rsid w:val="007B7EBB"/>
    <w:rPr>
      <w:b/>
      <w:bCs/>
    </w:rPr>
  </w:style>
  <w:style w:type="character" w:customStyle="1" w:styleId="CommentSubjectChar">
    <w:name w:val="Comment Subject Char"/>
    <w:link w:val="CommentSubject"/>
    <w:uiPriority w:val="99"/>
    <w:semiHidden/>
    <w:rsid w:val="007B7EBB"/>
    <w:rPr>
      <w:rFonts w:ascii="Arial" w:hAnsi="Arial"/>
      <w:b/>
      <w:bCs/>
    </w:rPr>
  </w:style>
  <w:style w:type="paragraph" w:styleId="BalloonText">
    <w:name w:val="Balloon Text"/>
    <w:basedOn w:val="Normal"/>
    <w:link w:val="BalloonTextChar"/>
    <w:uiPriority w:val="99"/>
    <w:semiHidden/>
    <w:unhideWhenUsed/>
    <w:rsid w:val="007B7EBB"/>
    <w:pPr>
      <w:spacing w:before="0"/>
    </w:pPr>
    <w:rPr>
      <w:rFonts w:ascii="Tahoma" w:hAnsi="Tahoma" w:cs="Tahoma"/>
      <w:sz w:val="16"/>
      <w:szCs w:val="16"/>
    </w:rPr>
  </w:style>
  <w:style w:type="character" w:customStyle="1" w:styleId="BalloonTextChar">
    <w:name w:val="Balloon Text Char"/>
    <w:link w:val="BalloonText"/>
    <w:uiPriority w:val="99"/>
    <w:semiHidden/>
    <w:rsid w:val="007B7EBB"/>
    <w:rPr>
      <w:rFonts w:ascii="Tahoma" w:hAnsi="Tahoma" w:cs="Tahoma"/>
      <w:sz w:val="16"/>
      <w:szCs w:val="16"/>
    </w:rPr>
  </w:style>
  <w:style w:type="character" w:styleId="Hyperlink">
    <w:name w:val="Hyperlink"/>
    <w:basedOn w:val="DefaultParagraphFont"/>
    <w:uiPriority w:val="99"/>
    <w:unhideWhenUsed/>
    <w:rsid w:val="00851822"/>
    <w:rPr>
      <w:color w:val="0563C1" w:themeColor="hyperlink"/>
      <w:u w:val="single"/>
    </w:rPr>
  </w:style>
  <w:style w:type="character" w:styleId="UnresolvedMention">
    <w:name w:val="Unresolved Mention"/>
    <w:basedOn w:val="DefaultParagraphFont"/>
    <w:uiPriority w:val="99"/>
    <w:semiHidden/>
    <w:unhideWhenUsed/>
    <w:rsid w:val="00851822"/>
    <w:rPr>
      <w:color w:val="605E5C"/>
      <w:shd w:val="clear" w:color="auto" w:fill="E1DFDD"/>
    </w:rPr>
  </w:style>
  <w:style w:type="paragraph" w:styleId="Caption">
    <w:name w:val="caption"/>
    <w:basedOn w:val="Normal"/>
    <w:next w:val="Normal"/>
    <w:uiPriority w:val="35"/>
    <w:unhideWhenUsed/>
    <w:qFormat/>
    <w:rsid w:val="005C2924"/>
    <w:pPr>
      <w:spacing w:before="0" w:after="200"/>
      <w:jc w:val="center"/>
    </w:pPr>
    <w:rPr>
      <w:iCs/>
      <w:color w:val="44546A" w:themeColor="text2"/>
      <w:sz w:val="18"/>
      <w:szCs w:val="18"/>
    </w:rPr>
  </w:style>
  <w:style w:type="paragraph" w:styleId="Bibliography">
    <w:name w:val="Bibliography"/>
    <w:basedOn w:val="Normal"/>
    <w:next w:val="Normal"/>
    <w:uiPriority w:val="37"/>
    <w:unhideWhenUsed/>
    <w:rsid w:val="00FC746B"/>
    <w:pPr>
      <w:ind w:left="720" w:hanging="720"/>
    </w:pPr>
  </w:style>
  <w:style w:type="paragraph" w:styleId="Revision">
    <w:name w:val="Revision"/>
    <w:hidden/>
    <w:uiPriority w:val="99"/>
    <w:semiHidden/>
    <w:rsid w:val="009F6338"/>
    <w:rPr>
      <w:rFonts w:asciiTheme="minorHAnsi" w:hAnsiTheme="minorHAns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tthew.mcgauley@eawag.ch"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mailto:max.maurer@eawag.ch"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F60F44DFF40DC49B22F1290DAC27D35" ma:contentTypeVersion="14" ma:contentTypeDescription="Crée un document." ma:contentTypeScope="" ma:versionID="2de795916097a7ada137eda4db8bb0cb">
  <xsd:schema xmlns:xsd="http://www.w3.org/2001/XMLSchema" xmlns:xs="http://www.w3.org/2001/XMLSchema" xmlns:p="http://schemas.microsoft.com/office/2006/metadata/properties" xmlns:ns2="d17ac1b6-3fb5-4b17-a073-724c0a731bcf" xmlns:ns3="551e59af-c345-4516-8904-314e9b251ad6" targetNamespace="http://schemas.microsoft.com/office/2006/metadata/properties" ma:root="true" ma:fieldsID="dd656efe17d67c524e47b54c69ebd80f" ns2:_="" ns3:_="">
    <xsd:import namespace="d17ac1b6-3fb5-4b17-a073-724c0a731bcf"/>
    <xsd:import namespace="551e59af-c345-4516-8904-314e9b251a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7ac1b6-3fb5-4b17-a073-724c0a731b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f2dbb24c-ba1d-4294-9915-f711720db87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1e59af-c345-4516-8904-314e9b251ad6"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446a4740-0f97-450b-92bd-08bc639275ae}" ma:internalName="TaxCatchAll" ma:showField="CatchAllData" ma:web="551e59af-c345-4516-8904-314e9b251a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1e59af-c345-4516-8904-314e9b251ad6" xsi:nil="true"/>
    <lcf76f155ced4ddcb4097134ff3c332f xmlns="d17ac1b6-3fb5-4b17-a073-724c0a731bc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994B1A8-30EA-47C3-9BE1-854FC3C60657}">
  <ds:schemaRefs>
    <ds:schemaRef ds:uri="http://schemas.openxmlformats.org/officeDocument/2006/bibliography"/>
  </ds:schemaRefs>
</ds:datastoreItem>
</file>

<file path=customXml/itemProps2.xml><?xml version="1.0" encoding="utf-8"?>
<ds:datastoreItem xmlns:ds="http://schemas.openxmlformats.org/officeDocument/2006/customXml" ds:itemID="{E5089D4F-20A3-48AF-9750-62E17ACD7A47}"/>
</file>

<file path=customXml/itemProps3.xml><?xml version="1.0" encoding="utf-8"?>
<ds:datastoreItem xmlns:ds="http://schemas.openxmlformats.org/officeDocument/2006/customXml" ds:itemID="{F328FBF5-B708-4D45-AC25-0DD68F676D85}"/>
</file>

<file path=customXml/itemProps4.xml><?xml version="1.0" encoding="utf-8"?>
<ds:datastoreItem xmlns:ds="http://schemas.openxmlformats.org/officeDocument/2006/customXml" ds:itemID="{644BE1BF-9E3F-4E38-BF42-4AFABBF9C2CC}"/>
</file>

<file path=docProps/app.xml><?xml version="1.0" encoding="utf-8"?>
<Properties xmlns="http://schemas.openxmlformats.org/officeDocument/2006/extended-properties" xmlns:vt="http://schemas.openxmlformats.org/officeDocument/2006/docPropsVTypes">
  <Template>Normal.dotm</Template>
  <TotalTime>0</TotalTime>
  <Pages>4</Pages>
  <Words>3918</Words>
  <Characters>24687</Characters>
  <Application>Microsoft Office Word</Application>
  <DocSecurity>0</DocSecurity>
  <Lines>205</Lines>
  <Paragraphs>57</Paragraphs>
  <ScaleCrop>false</ScaleCrop>
  <HeadingPairs>
    <vt:vector size="2" baseType="variant">
      <vt:variant>
        <vt:lpstr>Titre</vt:lpstr>
      </vt:variant>
      <vt:variant>
        <vt:i4>1</vt:i4>
      </vt:variant>
    </vt:vector>
  </HeadingPairs>
  <TitlesOfParts>
    <vt:vector size="1" baseType="lpstr">
      <vt:lpstr>communication novatech</vt:lpstr>
    </vt:vector>
  </TitlesOfParts>
  <Company>GRAIE</Company>
  <LinksUpToDate>false</LinksUpToDate>
  <CharactersWithSpaces>28548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Novatech 2026 abstract</dc:title>
  <dc:subject/>
  <dc:creator>GRAIE</dc:creator>
  <cp:keywords/>
  <dc:description/>
  <cp:lastModifiedBy>McGauley, Matthew</cp:lastModifiedBy>
  <cp:revision>434</cp:revision>
  <cp:lastPrinted>2003-09-03T12:25:00Z</cp:lastPrinted>
  <dcterms:created xsi:type="dcterms:W3CDTF">2025-12-02T08:08:00Z</dcterms:created>
  <dcterms:modified xsi:type="dcterms:W3CDTF">2025-12-03T15:28:00Z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zotero-version="7.0.15"&gt;&lt;session id="yDrQt1US"/&gt;&lt;style id="http://www.zotero.org/styles/american-society-of-civil-engineers" hasBibliography="1" bibliographyStyleHasBeenSet="1"/&gt;&lt;prefs&gt;&lt;pref name="fieldType" value="Field"/&gt;&lt;pref nam</vt:lpwstr>
  </property>
  <property fmtid="{D5CDD505-2E9C-101B-9397-08002B2CF9AE}" pid="3" name="ZOTERO_PREF_2">
    <vt:lpwstr>e="automaticJournalAbbreviations" value="true"/&gt;&lt;/prefs&gt;&lt;/data&gt;</vt:lpwstr>
  </property>
  <property fmtid="{D5CDD505-2E9C-101B-9397-08002B2CF9AE}" pid="4" name="ContentTypeId">
    <vt:lpwstr>0x010100EF60F44DFF40DC49B22F1290DAC27D35</vt:lpwstr>
  </property>
</Properties>
</file>