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1808B" w14:textId="77777777" w:rsidR="00F966C2" w:rsidRDefault="00F966C2" w:rsidP="009D500F">
      <w:pPr>
        <w:pStyle w:val="1Translation"/>
        <w:rPr>
          <w:b/>
          <w:bCs/>
          <w:color w:val="00708E"/>
          <w:lang w:val="en-US"/>
        </w:rPr>
      </w:pPr>
      <w:r w:rsidRPr="00F966C2">
        <w:rPr>
          <w:b/>
          <w:bCs/>
          <w:color w:val="00708E"/>
          <w:lang w:val="en-US"/>
        </w:rPr>
        <w:t>GNN-Based Hydraulic State Estimation in Wastewater Networks Under Diverse Flow and Rainfall Scenarios</w:t>
      </w:r>
    </w:p>
    <w:p w14:paraId="11A7CD7C" w14:textId="48466F7F" w:rsidR="00C31BFD" w:rsidRPr="00F966C2" w:rsidRDefault="00F966C2" w:rsidP="009D500F">
      <w:pPr>
        <w:pStyle w:val="3names"/>
        <w:rPr>
          <w:color w:val="auto"/>
          <w:sz w:val="20"/>
          <w:szCs w:val="20"/>
          <w:lang w:val="fr-FR"/>
        </w:rPr>
      </w:pPr>
      <w:r w:rsidRPr="00F966C2">
        <w:rPr>
          <w:color w:val="00B6CF"/>
          <w:sz w:val="28"/>
          <w:lang w:val="fr-FR"/>
        </w:rPr>
        <w:t>Estimation hydraulique par réseaux de neurones graphiques sous divers scénarios d’écoulement et de pluie</w:t>
      </w:r>
    </w:p>
    <w:p w14:paraId="4C47035A" w14:textId="36FBC949" w:rsidR="00DE20F1" w:rsidRPr="00F71CA4" w:rsidRDefault="00F71CA4" w:rsidP="00397B39">
      <w:pPr>
        <w:pStyle w:val="4organisme"/>
        <w:rPr>
          <w:rFonts w:cstheme="minorHAnsi"/>
        </w:rPr>
      </w:pPr>
      <w:r w:rsidRPr="00F71CA4">
        <w:rPr>
          <w:rFonts w:cstheme="minorHAnsi"/>
          <w:color w:val="CF007E"/>
          <w:sz w:val="24"/>
        </w:rPr>
        <w:t xml:space="preserve">Imane El </w:t>
      </w:r>
      <w:proofErr w:type="spellStart"/>
      <w:r w:rsidRPr="00F71CA4">
        <w:rPr>
          <w:rFonts w:cstheme="minorHAnsi"/>
          <w:color w:val="CF007E"/>
          <w:sz w:val="24"/>
        </w:rPr>
        <w:t>Ghabi</w:t>
      </w:r>
      <w:proofErr w:type="spellEnd"/>
      <w:r w:rsidRPr="00F71CA4">
        <w:rPr>
          <w:rFonts w:ascii="Cambria Math" w:hAnsi="Cambria Math" w:cs="Cambria Math"/>
          <w:color w:val="CF007E"/>
          <w:sz w:val="24"/>
          <w:vertAlign w:val="superscript"/>
        </w:rPr>
        <w:t>∗</w:t>
      </w:r>
      <w:r w:rsidRPr="00F71CA4">
        <w:rPr>
          <w:rFonts w:ascii="Calibri" w:hAnsi="Calibri" w:cs="Calibri"/>
          <w:color w:val="CF007E"/>
          <w:sz w:val="24"/>
          <w:vertAlign w:val="superscript"/>
        </w:rPr>
        <w:t>‡</w:t>
      </w:r>
      <w:r w:rsidRPr="00F71CA4">
        <w:rPr>
          <w:rFonts w:cstheme="minorHAnsi"/>
          <w:color w:val="CF007E"/>
          <w:sz w:val="24"/>
        </w:rPr>
        <w:t xml:space="preserve">, Revin </w:t>
      </w:r>
      <w:proofErr w:type="spellStart"/>
      <w:r w:rsidRPr="00F71CA4">
        <w:rPr>
          <w:rFonts w:cstheme="minorHAnsi"/>
          <w:color w:val="CF007E"/>
          <w:sz w:val="24"/>
        </w:rPr>
        <w:t>Naufal</w:t>
      </w:r>
      <w:proofErr w:type="spellEnd"/>
      <w:r w:rsidRPr="00F71CA4">
        <w:rPr>
          <w:rFonts w:cstheme="minorHAnsi"/>
          <w:color w:val="CF007E"/>
          <w:sz w:val="24"/>
        </w:rPr>
        <w:t xml:space="preserve"> </w:t>
      </w:r>
      <w:proofErr w:type="spellStart"/>
      <w:r w:rsidRPr="00F71CA4">
        <w:rPr>
          <w:rFonts w:cstheme="minorHAnsi"/>
          <w:color w:val="CF007E"/>
          <w:sz w:val="24"/>
        </w:rPr>
        <w:t>Alief</w:t>
      </w:r>
      <w:proofErr w:type="spellEnd"/>
      <w:r w:rsidRPr="00F71CA4">
        <w:rPr>
          <w:rFonts w:cstheme="minorHAnsi"/>
          <w:color w:val="CF007E"/>
          <w:sz w:val="24"/>
          <w:vertAlign w:val="superscript"/>
        </w:rPr>
        <w:t>¥‡</w:t>
      </w:r>
      <w:r w:rsidRPr="00F71CA4">
        <w:rPr>
          <w:rFonts w:cstheme="minorHAnsi"/>
          <w:color w:val="CF007E"/>
          <w:sz w:val="24"/>
        </w:rPr>
        <w:t xml:space="preserve">, </w:t>
      </w:r>
      <w:r w:rsidR="00366A33" w:rsidRPr="00F71CA4">
        <w:rPr>
          <w:rFonts w:cstheme="minorHAnsi"/>
          <w:color w:val="CF007E"/>
          <w:sz w:val="24"/>
        </w:rPr>
        <w:t xml:space="preserve">Victoria </w:t>
      </w:r>
      <w:proofErr w:type="spellStart"/>
      <w:r w:rsidR="00366A33" w:rsidRPr="00F71CA4">
        <w:rPr>
          <w:rFonts w:cstheme="minorHAnsi"/>
          <w:color w:val="CF007E"/>
          <w:sz w:val="24"/>
        </w:rPr>
        <w:t>Degeler</w:t>
      </w:r>
      <w:proofErr w:type="spellEnd"/>
      <w:r w:rsidR="00366A33" w:rsidRPr="00F71CA4">
        <w:rPr>
          <w:rFonts w:ascii="Cambria Math" w:hAnsi="Cambria Math" w:cs="Cambria Math"/>
          <w:color w:val="CF007E"/>
          <w:sz w:val="24"/>
          <w:vertAlign w:val="superscript"/>
        </w:rPr>
        <w:t>∗</w:t>
      </w:r>
      <w:r w:rsidRPr="00F71CA4">
        <w:rPr>
          <w:rFonts w:cstheme="minorHAnsi"/>
          <w:color w:val="CF007E"/>
          <w:sz w:val="24"/>
        </w:rPr>
        <w:t xml:space="preserve">, Alexander </w:t>
      </w:r>
      <w:proofErr w:type="spellStart"/>
      <w:r w:rsidRPr="00F71CA4">
        <w:rPr>
          <w:rFonts w:cstheme="minorHAnsi"/>
          <w:color w:val="CF007E"/>
          <w:sz w:val="24"/>
        </w:rPr>
        <w:t>Lazovik</w:t>
      </w:r>
      <w:proofErr w:type="spellEnd"/>
      <w:r w:rsidRPr="00F71CA4">
        <w:rPr>
          <w:rFonts w:cstheme="minorHAnsi"/>
          <w:color w:val="CF007E"/>
          <w:sz w:val="24"/>
          <w:vertAlign w:val="superscript"/>
        </w:rPr>
        <w:t>¥</w:t>
      </w:r>
      <w:r w:rsidRPr="00F71CA4">
        <w:rPr>
          <w:rFonts w:cstheme="minorHAnsi"/>
          <w:color w:val="CF007E"/>
          <w:sz w:val="24"/>
        </w:rPr>
        <w:t xml:space="preserve">, </w:t>
      </w:r>
      <w:r w:rsidR="00366A33" w:rsidRPr="00F71CA4">
        <w:rPr>
          <w:rFonts w:cstheme="minorHAnsi"/>
          <w:color w:val="CF007E"/>
          <w:sz w:val="24"/>
        </w:rPr>
        <w:t xml:space="preserve">Guy </w:t>
      </w:r>
      <w:proofErr w:type="spellStart"/>
      <w:r w:rsidR="00366A33" w:rsidRPr="00F71CA4">
        <w:rPr>
          <w:rFonts w:cstheme="minorHAnsi"/>
          <w:color w:val="CF007E"/>
          <w:sz w:val="24"/>
        </w:rPr>
        <w:t>Henckens</w:t>
      </w:r>
      <w:proofErr w:type="spellEnd"/>
      <w:r w:rsidR="00366A33" w:rsidRPr="00F71CA4">
        <w:rPr>
          <w:rFonts w:ascii="Calibri" w:hAnsi="Calibri" w:cs="Calibri"/>
          <w:color w:val="CF007E"/>
          <w:sz w:val="24"/>
          <w:vertAlign w:val="superscript"/>
        </w:rPr>
        <w:t>§</w:t>
      </w:r>
      <w:r w:rsidR="00366A33">
        <w:rPr>
          <w:rFonts w:ascii="Calibri" w:hAnsi="Calibri" w:cs="Calibri"/>
          <w:color w:val="CF007E"/>
          <w:sz w:val="24"/>
          <w:vertAlign w:val="superscript"/>
        </w:rPr>
        <w:t xml:space="preserve"> </w:t>
      </w:r>
      <w:r w:rsidR="00366A33">
        <w:rPr>
          <w:rFonts w:cstheme="minorHAnsi"/>
          <w:color w:val="CF007E"/>
          <w:sz w:val="24"/>
        </w:rPr>
        <w:t>, D</w:t>
      </w:r>
      <w:r w:rsidR="00366A33" w:rsidRPr="00F71CA4">
        <w:rPr>
          <w:rFonts w:cstheme="minorHAnsi"/>
          <w:color w:val="CF007E"/>
          <w:sz w:val="24"/>
        </w:rPr>
        <w:t xml:space="preserve">ilek </w:t>
      </w:r>
      <w:proofErr w:type="spellStart"/>
      <w:r w:rsidR="00366A33" w:rsidRPr="00F71CA4">
        <w:rPr>
          <w:rFonts w:cstheme="minorHAnsi"/>
          <w:color w:val="CF007E"/>
          <w:sz w:val="24"/>
        </w:rPr>
        <w:t>Düştegör</w:t>
      </w:r>
      <w:proofErr w:type="spellEnd"/>
      <w:r w:rsidR="00366A33" w:rsidRPr="00F71CA4">
        <w:rPr>
          <w:rFonts w:cstheme="minorHAnsi"/>
          <w:color w:val="CF007E"/>
          <w:sz w:val="24"/>
          <w:vertAlign w:val="superscript"/>
        </w:rPr>
        <w:t>¥</w:t>
      </w:r>
    </w:p>
    <w:p w14:paraId="4D8C30C1" w14:textId="7CD2B145" w:rsidR="00F71CA4" w:rsidRPr="00E61642" w:rsidRDefault="00F71CA4" w:rsidP="00397B39">
      <w:pPr>
        <w:pStyle w:val="4organisme"/>
        <w:rPr>
          <w:rFonts w:ascii="Cambria Math" w:hAnsi="Cambria Math" w:cs="Cambria Math"/>
          <w:lang w:val="en-US"/>
        </w:rPr>
      </w:pPr>
      <w:r w:rsidRPr="00E61642">
        <w:rPr>
          <w:rFonts w:ascii="Cambria Math" w:hAnsi="Cambria Math" w:cs="Cambria Math"/>
          <w:vertAlign w:val="superscript"/>
          <w:lang w:val="en-US"/>
        </w:rPr>
        <w:t>∗</w:t>
      </w:r>
      <w:r w:rsidRPr="00E61642">
        <w:rPr>
          <w:rFonts w:ascii="Cambria Math" w:hAnsi="Cambria Math" w:cs="Cambria Math"/>
          <w:lang w:val="en-US"/>
        </w:rPr>
        <w:t xml:space="preserve"> Informatics Institute, University of Amsterdam, The Netherlands</w:t>
      </w:r>
    </w:p>
    <w:p w14:paraId="42E053F0" w14:textId="6D82EF2F" w:rsidR="00F71CA4" w:rsidRPr="00E61642" w:rsidRDefault="00F71CA4" w:rsidP="00397B39">
      <w:pPr>
        <w:pStyle w:val="4organisme"/>
        <w:rPr>
          <w:rFonts w:ascii="Cambria Math" w:hAnsi="Cambria Math" w:cs="Cambria Math"/>
          <w:lang w:val="en-US"/>
        </w:rPr>
      </w:pPr>
      <w:r w:rsidRPr="00E61642">
        <w:rPr>
          <w:rFonts w:ascii="Cambria Math" w:hAnsi="Cambria Math" w:cs="Cambria Math"/>
          <w:vertAlign w:val="superscript"/>
          <w:lang w:val="en-US"/>
        </w:rPr>
        <w:t>¥</w:t>
      </w:r>
      <w:r w:rsidR="0069170D" w:rsidRPr="00E61642">
        <w:rPr>
          <w:rFonts w:ascii="Cambria Math" w:hAnsi="Cambria Math" w:cs="Cambria Math"/>
          <w:lang w:val="en-US"/>
        </w:rPr>
        <w:t xml:space="preserve"> Bernoulli Institute, University of Groningen, The Netherlands</w:t>
      </w:r>
    </w:p>
    <w:p w14:paraId="66C43C75" w14:textId="49817916" w:rsidR="00F71CA4" w:rsidRPr="00F71CA4" w:rsidRDefault="00F71CA4" w:rsidP="00397B39">
      <w:pPr>
        <w:pStyle w:val="4organisme"/>
        <w:rPr>
          <w:rFonts w:ascii="Cambria Math" w:hAnsi="Cambria Math" w:cs="Cambria Math"/>
          <w:lang w:val="en-US"/>
        </w:rPr>
      </w:pPr>
      <w:r w:rsidRPr="0069170D">
        <w:rPr>
          <w:rFonts w:ascii="Cambria Math" w:hAnsi="Cambria Math" w:cs="Cambria Math"/>
          <w:vertAlign w:val="superscript"/>
          <w:lang w:val="en-US"/>
        </w:rPr>
        <w:t>§</w:t>
      </w:r>
      <w:r w:rsidR="0069170D">
        <w:rPr>
          <w:rFonts w:ascii="Cambria Math" w:hAnsi="Cambria Math" w:cs="Cambria Math"/>
          <w:lang w:val="en-US"/>
        </w:rPr>
        <w:t xml:space="preserve"> </w:t>
      </w:r>
      <w:r w:rsidR="0069170D" w:rsidRPr="0069170D">
        <w:rPr>
          <w:rFonts w:ascii="Cambria Math" w:hAnsi="Cambria Math" w:cs="Cambria Math"/>
          <w:lang w:val="en-US"/>
        </w:rPr>
        <w:t xml:space="preserve">Aveco de </w:t>
      </w:r>
      <w:proofErr w:type="spellStart"/>
      <w:r w:rsidR="0069170D" w:rsidRPr="0069170D">
        <w:rPr>
          <w:rFonts w:ascii="Cambria Math" w:hAnsi="Cambria Math" w:cs="Cambria Math"/>
          <w:lang w:val="en-US"/>
        </w:rPr>
        <w:t>Bondt</w:t>
      </w:r>
      <w:proofErr w:type="spellEnd"/>
      <w:r w:rsidR="0069170D" w:rsidRPr="0069170D">
        <w:rPr>
          <w:rFonts w:ascii="Cambria Math" w:hAnsi="Cambria Math" w:cs="Cambria Math"/>
          <w:lang w:val="en-US"/>
        </w:rPr>
        <w:t>, The Netherlands</w:t>
      </w:r>
    </w:p>
    <w:p w14:paraId="4F80AABD" w14:textId="10081277" w:rsidR="00F71CA4" w:rsidRPr="00F71CA4" w:rsidRDefault="00F71CA4" w:rsidP="00F71CA4">
      <w:pPr>
        <w:pStyle w:val="4organisme"/>
        <w:rPr>
          <w:rFonts w:ascii="Cambria Math" w:hAnsi="Cambria Math" w:cs="Cambria Math"/>
          <w:lang w:val="en-US"/>
        </w:rPr>
      </w:pPr>
      <w:r w:rsidRPr="0069170D">
        <w:rPr>
          <w:rFonts w:ascii="Cambria Math" w:hAnsi="Cambria Math" w:cs="Cambria Math"/>
          <w:vertAlign w:val="superscript"/>
          <w:lang w:val="en-US"/>
        </w:rPr>
        <w:t>‡</w:t>
      </w:r>
      <w:r w:rsidR="0069170D">
        <w:rPr>
          <w:rFonts w:ascii="Cambria Math" w:hAnsi="Cambria Math" w:cs="Cambria Math"/>
          <w:lang w:val="en-US"/>
        </w:rPr>
        <w:t xml:space="preserve"> </w:t>
      </w:r>
      <w:r w:rsidR="0069170D" w:rsidRPr="0069170D">
        <w:rPr>
          <w:rFonts w:ascii="Cambria Math" w:hAnsi="Cambria Math" w:cs="Cambria Math"/>
          <w:lang w:val="en-US"/>
        </w:rPr>
        <w:t>Equally contributed</w:t>
      </w:r>
    </w:p>
    <w:p w14:paraId="4E063F19" w14:textId="7A4BACD8" w:rsidR="0069170D" w:rsidRPr="0069170D" w:rsidRDefault="0069170D" w:rsidP="0069170D">
      <w:pPr>
        <w:pStyle w:val="4organisme"/>
        <w:rPr>
          <w:rFonts w:ascii="Cambria Math" w:hAnsi="Cambria Math" w:cs="Cambria Math"/>
          <w:lang w:val="en-US"/>
        </w:rPr>
      </w:pPr>
      <w:r w:rsidRPr="0069170D">
        <w:rPr>
          <w:rFonts w:ascii="Cambria Math" w:hAnsi="Cambria Math" w:cs="Cambria Math"/>
          <w:vertAlign w:val="superscript"/>
          <w:lang w:val="en-US"/>
        </w:rPr>
        <w:t>∗</w:t>
      </w:r>
      <w:r>
        <w:rPr>
          <w:rFonts w:ascii="Cambria Math" w:hAnsi="Cambria Math" w:cs="Cambria Math"/>
          <w:vertAlign w:val="superscript"/>
          <w:lang w:val="en-US"/>
        </w:rPr>
        <w:t xml:space="preserve"> </w:t>
      </w:r>
      <w:r w:rsidRPr="0069170D">
        <w:rPr>
          <w:rFonts w:ascii="Cambria Math" w:hAnsi="Cambria Math" w:cs="Cambria Math"/>
          <w:lang w:val="en-US"/>
        </w:rPr>
        <w:t>{</w:t>
      </w:r>
      <w:proofErr w:type="spellStart"/>
      <w:r w:rsidRPr="0069170D">
        <w:rPr>
          <w:rFonts w:ascii="Cambria Math" w:hAnsi="Cambria Math" w:cs="Cambria Math"/>
          <w:lang w:val="en-US"/>
        </w:rPr>
        <w:t>i.elghabi</w:t>
      </w:r>
      <w:proofErr w:type="spellEnd"/>
      <w:r w:rsidRPr="0069170D">
        <w:rPr>
          <w:rFonts w:ascii="Cambria Math" w:hAnsi="Cambria Math" w:cs="Cambria Math"/>
          <w:lang w:val="en-US"/>
        </w:rPr>
        <w:t xml:space="preserve">, </w:t>
      </w:r>
      <w:proofErr w:type="spellStart"/>
      <w:r w:rsidRPr="0069170D">
        <w:rPr>
          <w:rFonts w:ascii="Cambria Math" w:hAnsi="Cambria Math" w:cs="Cambria Math"/>
          <w:lang w:val="en-US"/>
        </w:rPr>
        <w:t>v.o.degeler</w:t>
      </w:r>
      <w:proofErr w:type="spellEnd"/>
      <w:r w:rsidRPr="0069170D">
        <w:rPr>
          <w:rFonts w:ascii="Cambria Math" w:hAnsi="Cambria Math" w:cs="Cambria Math"/>
          <w:lang w:val="en-US"/>
        </w:rPr>
        <w:t>}@uva.nl</w:t>
      </w:r>
    </w:p>
    <w:p w14:paraId="60AF8D74" w14:textId="0F20D9AE" w:rsidR="0069170D" w:rsidRPr="0069170D" w:rsidRDefault="0069170D" w:rsidP="0069170D">
      <w:pPr>
        <w:pStyle w:val="4organisme"/>
        <w:rPr>
          <w:rFonts w:ascii="Cambria Math" w:hAnsi="Cambria Math" w:cs="Cambria Math"/>
          <w:lang w:val="nl-NL"/>
        </w:rPr>
      </w:pPr>
      <w:r w:rsidRPr="0069170D">
        <w:rPr>
          <w:rFonts w:ascii="Cambria Math" w:hAnsi="Cambria Math" w:cs="Cambria Math"/>
          <w:vertAlign w:val="superscript"/>
          <w:lang w:val="nl-NL"/>
        </w:rPr>
        <w:t xml:space="preserve">¥ </w:t>
      </w:r>
      <w:r w:rsidRPr="0069170D">
        <w:rPr>
          <w:rFonts w:ascii="Cambria Math" w:hAnsi="Cambria Math" w:cs="Cambria Math"/>
          <w:lang w:val="nl-NL"/>
        </w:rPr>
        <w:t>{</w:t>
      </w:r>
      <w:proofErr w:type="spellStart"/>
      <w:r w:rsidRPr="0069170D">
        <w:rPr>
          <w:rFonts w:ascii="Cambria Math" w:hAnsi="Cambria Math" w:cs="Cambria Math"/>
          <w:lang w:val="nl-NL"/>
        </w:rPr>
        <w:t>r.n.alief</w:t>
      </w:r>
      <w:proofErr w:type="spellEnd"/>
      <w:r w:rsidRPr="0069170D">
        <w:rPr>
          <w:rFonts w:ascii="Cambria Math" w:hAnsi="Cambria Math" w:cs="Cambria Math"/>
          <w:lang w:val="nl-NL"/>
        </w:rPr>
        <w:t xml:space="preserve">, </w:t>
      </w:r>
      <w:proofErr w:type="spellStart"/>
      <w:r w:rsidRPr="0069170D">
        <w:rPr>
          <w:rFonts w:ascii="Cambria Math" w:hAnsi="Cambria Math" w:cs="Cambria Math"/>
          <w:lang w:val="nl-NL"/>
        </w:rPr>
        <w:t>d.dustegor</w:t>
      </w:r>
      <w:proofErr w:type="spellEnd"/>
      <w:r w:rsidRPr="0069170D">
        <w:rPr>
          <w:rFonts w:ascii="Cambria Math" w:hAnsi="Cambria Math" w:cs="Cambria Math"/>
          <w:lang w:val="nl-NL"/>
        </w:rPr>
        <w:t xml:space="preserve">, </w:t>
      </w:r>
      <w:proofErr w:type="spellStart"/>
      <w:r w:rsidRPr="0069170D">
        <w:rPr>
          <w:rFonts w:ascii="Cambria Math" w:hAnsi="Cambria Math" w:cs="Cambria Math"/>
          <w:lang w:val="nl-NL"/>
        </w:rPr>
        <w:t>a.lazovik</w:t>
      </w:r>
      <w:proofErr w:type="spellEnd"/>
      <w:r w:rsidRPr="0069170D">
        <w:rPr>
          <w:rFonts w:ascii="Cambria Math" w:hAnsi="Cambria Math" w:cs="Cambria Math"/>
          <w:lang w:val="nl-NL"/>
        </w:rPr>
        <w:t>}@rug.nl</w:t>
      </w:r>
    </w:p>
    <w:p w14:paraId="6A6372F5" w14:textId="641680B8" w:rsidR="00C31BFD" w:rsidRPr="002B4847" w:rsidRDefault="0069170D" w:rsidP="0069170D">
      <w:pPr>
        <w:pStyle w:val="4organisme"/>
        <w:rPr>
          <w:rFonts w:ascii="Cambria Math" w:hAnsi="Cambria Math" w:cs="Cambria Math"/>
        </w:rPr>
      </w:pPr>
      <w:r w:rsidRPr="002B4847">
        <w:rPr>
          <w:rFonts w:ascii="Cambria Math" w:hAnsi="Cambria Math" w:cs="Cambria Math"/>
          <w:vertAlign w:val="superscript"/>
        </w:rPr>
        <w:t xml:space="preserve">§ </w:t>
      </w:r>
      <w:r w:rsidRPr="002B4847">
        <w:rPr>
          <w:rFonts w:ascii="Cambria Math" w:hAnsi="Cambria Math" w:cs="Cambria Math"/>
        </w:rPr>
        <w:t>ghenckens@avecodebondt.nl</w:t>
      </w:r>
    </w:p>
    <w:p w14:paraId="043E0AE2" w14:textId="77777777" w:rsidR="00C31BFD" w:rsidRPr="00675070" w:rsidRDefault="00C31BFD" w:rsidP="009D500F">
      <w:pPr>
        <w:pStyle w:val="Title"/>
      </w:pPr>
      <w:r w:rsidRPr="00675070">
        <w:t>R</w:t>
      </w:r>
      <w:r w:rsidR="00023D54" w:rsidRPr="00675070">
        <w:t>É</w:t>
      </w:r>
      <w:r w:rsidRPr="00675070">
        <w:t>SUM</w:t>
      </w:r>
      <w:r w:rsidR="00023D54" w:rsidRPr="00675070">
        <w:t>É</w:t>
      </w:r>
    </w:p>
    <w:p w14:paraId="2C1E4D03" w14:textId="77777777" w:rsidR="00B454E9" w:rsidRDefault="00B454E9" w:rsidP="00B454E9">
      <w:pPr>
        <w:rPr>
          <w:b/>
          <w:bCs/>
        </w:rPr>
      </w:pPr>
      <w:r w:rsidRPr="00B454E9">
        <w:t>Les réseaux d’assainissement urbains doivent être surveillés de manière fiable pour prévenir les débordements et les inondations, alors même que la couverture en capteurs reste limitée et que les conditions hydrauliques varient fortement selon les épisodes pluvieux. Cette étude présente un modèle de réseau de neurones graphiques (GNN) capable de reconstruire les niveaux d’eau à l’échelle du réseau et d’indiquer le dépassement des seuils de surverse ou de mise en charge sous différents scénarios d’écoulement. À partir d’un jumeau numérique hydrodynamique calibré du réseau de Heusden (894 nœuds), le modèle est entraîné sur une large gamme d’événements pluvieux allant de faibles intensités à des pluies extrêmes. Le GNN atteint une précision de 20 à 50 cm, suffisante pour la prise de décision opérationnelle (commande de pompes, gestion des débordements), tout en identifiant lorsque les niveaux atteignent ou dépassent le terrain naturel, signalant ainsi un risque d’inondation. Une validation externe sur un réseau pluvial indépendant (</w:t>
      </w:r>
      <w:proofErr w:type="spellStart"/>
      <w:r w:rsidRPr="00B454E9">
        <w:t>Shunqing</w:t>
      </w:r>
      <w:proofErr w:type="spellEnd"/>
      <w:r w:rsidRPr="00B454E9">
        <w:t>, Chine) démontre la robustesse et la transférabilité de l’approche. En fournissant une conscience situationnelle rapide et étendue malgré la rareté des capteurs, cette méthode renforce la gestion des ouvrages centralisés et des dispositifs à la source dans un contexte d’incertitude climatique croissante.</w:t>
      </w:r>
    </w:p>
    <w:p w14:paraId="02FC3078" w14:textId="2FBACB84" w:rsidR="00C31BFD" w:rsidRPr="00366A33" w:rsidRDefault="00C31BFD" w:rsidP="009D500F">
      <w:pPr>
        <w:pStyle w:val="Title"/>
        <w:rPr>
          <w:color w:val="00B6CF"/>
          <w:lang w:val="en-US"/>
        </w:rPr>
      </w:pPr>
      <w:r w:rsidRPr="00366A33">
        <w:rPr>
          <w:color w:val="00B6CF"/>
          <w:lang w:val="en-US"/>
        </w:rPr>
        <w:t>ABSTRACT</w:t>
      </w:r>
    </w:p>
    <w:p w14:paraId="787DB548" w14:textId="7679F25C" w:rsidR="00316FC0" w:rsidRDefault="00316FC0" w:rsidP="00316FC0">
      <w:pPr>
        <w:rPr>
          <w:b/>
          <w:bCs/>
          <w:lang w:val="en-GB"/>
        </w:rPr>
      </w:pPr>
      <w:r w:rsidRPr="00316FC0">
        <w:rPr>
          <w:lang w:val="en-GB"/>
        </w:rPr>
        <w:t xml:space="preserve">Urban drainage networks require reliable monitoring to prevent flooding and overflow risks, yet sensing remains sparse and hydraulic conditions vary strongly across storm types. This work presents a graph neural network (GNN) surrogate that reconstructs system-wide water levels and detects flood threshold exceedances under diverse flow scenarios. Using a calibrated </w:t>
      </w:r>
      <w:proofErr w:type="spellStart"/>
      <w:r w:rsidRPr="00316FC0">
        <w:rPr>
          <w:lang w:val="en-GB"/>
        </w:rPr>
        <w:t>InfoWorks</w:t>
      </w:r>
      <w:proofErr w:type="spellEnd"/>
      <w:r w:rsidRPr="00316FC0">
        <w:rPr>
          <w:lang w:val="en-GB"/>
        </w:rPr>
        <w:t xml:space="preserve"> ICM digital twin of the </w:t>
      </w:r>
      <w:proofErr w:type="spellStart"/>
      <w:r w:rsidRPr="00316FC0">
        <w:rPr>
          <w:lang w:val="en-GB"/>
        </w:rPr>
        <w:t>Heusden</w:t>
      </w:r>
      <w:proofErr w:type="spellEnd"/>
      <w:r w:rsidRPr="00316FC0">
        <w:rPr>
          <w:lang w:val="en-GB"/>
        </w:rPr>
        <w:t xml:space="preserve"> network (894 nodes), the model is trained on synthetic rainfall events covering low to extreme intensities. The GNN achieves 20</w:t>
      </w:r>
      <w:r>
        <w:rPr>
          <w:lang w:val="en-GB"/>
        </w:rPr>
        <w:t>-</w:t>
      </w:r>
      <w:r w:rsidRPr="00316FC0">
        <w:rPr>
          <w:lang w:val="en-GB"/>
        </w:rPr>
        <w:t>50 cm accuracy, sufficient for operational decisions such as pump activation or overflow response, while correctly indicating when levels approach or exceed ground elevation. External validation on an independent stormwater network (</w:t>
      </w:r>
      <w:proofErr w:type="spellStart"/>
      <w:r w:rsidRPr="00316FC0">
        <w:rPr>
          <w:lang w:val="en-GB"/>
        </w:rPr>
        <w:t>Shunqing</w:t>
      </w:r>
      <w:proofErr w:type="spellEnd"/>
      <w:r w:rsidRPr="00316FC0">
        <w:rPr>
          <w:lang w:val="en-GB"/>
        </w:rPr>
        <w:t>, China) confirms robustness and transferability. By providing fast, network-wide situational awareness despite sparse sensing, the approach strengthens the management of both centralized assets and local source-control measures under climate-induced uncertainty.</w:t>
      </w:r>
    </w:p>
    <w:p w14:paraId="085BA4B4" w14:textId="055712ED" w:rsidR="00C31BFD" w:rsidRPr="00061D24" w:rsidRDefault="006A683B" w:rsidP="009D500F">
      <w:pPr>
        <w:pStyle w:val="Title"/>
        <w:rPr>
          <w:color w:val="auto"/>
          <w:lang w:val="en-GB"/>
        </w:rPr>
      </w:pPr>
      <w:r w:rsidRPr="00061D24">
        <w:rPr>
          <w:color w:val="auto"/>
          <w:lang w:val="en-GB"/>
        </w:rPr>
        <w:t>KEYWORDS</w:t>
      </w:r>
    </w:p>
    <w:p w14:paraId="3ECA4224" w14:textId="27092A17" w:rsidR="006A683B" w:rsidRPr="00061D24" w:rsidRDefault="00675070" w:rsidP="006A683B">
      <w:pPr>
        <w:rPr>
          <w:rFonts w:cstheme="minorHAnsi"/>
          <w:lang w:val="en-GB"/>
        </w:rPr>
      </w:pPr>
      <w:r w:rsidRPr="00675070">
        <w:rPr>
          <w:rFonts w:cstheme="minorHAnsi"/>
          <w:lang w:val="en-GB"/>
        </w:rPr>
        <w:t>Digital twin, Graph neural networks, Hydraulic modelling, Stormwater management, Wastewater networks</w:t>
      </w:r>
    </w:p>
    <w:p w14:paraId="7058341E" w14:textId="27CD7A1F" w:rsidR="00C31BFD" w:rsidRDefault="00AA1C3A" w:rsidP="009D500F">
      <w:pPr>
        <w:pStyle w:val="Heading1"/>
        <w:rPr>
          <w:lang w:val="en-US"/>
        </w:rPr>
      </w:pPr>
      <w:r w:rsidRPr="00061D24">
        <w:rPr>
          <w:lang w:val="en-GB"/>
        </w:rPr>
        <w:br w:type="page"/>
      </w:r>
      <w:r w:rsidR="00675070">
        <w:rPr>
          <w:lang w:val="en-US"/>
        </w:rPr>
        <w:lastRenderedPageBreak/>
        <w:t>Introduction</w:t>
      </w:r>
    </w:p>
    <w:p w14:paraId="62FE2FB1" w14:textId="4E6EE6E3" w:rsidR="00344CBC" w:rsidRDefault="00344CBC" w:rsidP="00366A33">
      <w:pPr>
        <w:rPr>
          <w:lang w:val="en-US"/>
        </w:rPr>
      </w:pPr>
      <w:r w:rsidRPr="00344CBC">
        <w:rPr>
          <w:lang w:val="en-US"/>
        </w:rPr>
        <w:t>Urban wastewater and stormwater systems increasingly face uncertain hydraulic conditions due to climate change</w:t>
      </w:r>
      <w:r w:rsidR="008B770D">
        <w:rPr>
          <w:lang w:val="en-US"/>
        </w:rPr>
        <w:t xml:space="preserve"> (especially, </w:t>
      </w:r>
      <w:r w:rsidR="008B770D" w:rsidRPr="00344CBC">
        <w:rPr>
          <w:lang w:val="en-US"/>
        </w:rPr>
        <w:t>more frequent extreme rainfall events</w:t>
      </w:r>
      <w:r w:rsidR="008B770D">
        <w:rPr>
          <w:lang w:val="en-US"/>
        </w:rPr>
        <w:t>)</w:t>
      </w:r>
      <w:r w:rsidRPr="00344CBC">
        <w:rPr>
          <w:lang w:val="en-US"/>
        </w:rPr>
        <w:t xml:space="preserve">, </w:t>
      </w:r>
      <w:r w:rsidR="008B770D">
        <w:rPr>
          <w:lang w:val="en-US"/>
        </w:rPr>
        <w:t xml:space="preserve">and </w:t>
      </w:r>
      <w:r w:rsidRPr="00344CBC">
        <w:rPr>
          <w:lang w:val="en-US"/>
        </w:rPr>
        <w:t>urban densification</w:t>
      </w:r>
      <w:r w:rsidR="007328B6">
        <w:rPr>
          <w:lang w:val="en-US"/>
        </w:rPr>
        <w:t xml:space="preserve"> which cause </w:t>
      </w:r>
      <w:r w:rsidR="004415EB">
        <w:rPr>
          <w:lang w:val="en-US"/>
        </w:rPr>
        <w:t>more frequent flooding</w:t>
      </w:r>
      <w:r w:rsidRPr="00344CBC">
        <w:rPr>
          <w:lang w:val="en-US"/>
        </w:rPr>
        <w:t>. These uncertainties complicate both the design and the operation of drainage infrastructures, especially when monitoring remains limited by sparse sensor availability.</w:t>
      </w:r>
    </w:p>
    <w:p w14:paraId="61943536" w14:textId="1596FAA6" w:rsidR="00422D91" w:rsidRDefault="00422D91" w:rsidP="00366A33">
      <w:pPr>
        <w:rPr>
          <w:lang w:val="en-US"/>
        </w:rPr>
      </w:pPr>
      <w:r w:rsidRPr="00366A33">
        <w:rPr>
          <w:lang w:val="en-US"/>
        </w:rPr>
        <w:t>Blue–green and source-control infrastructures play an expanding role in mitigating runoff and delaying peak flows. However, their effectiveness depends on how the wider drainage system behaves at that moment</w:t>
      </w:r>
      <w:r w:rsidR="002070AA" w:rsidRPr="00366A33">
        <w:rPr>
          <w:lang w:val="en-US"/>
        </w:rPr>
        <w:t xml:space="preserve">, </w:t>
      </w:r>
      <w:r w:rsidRPr="00366A33">
        <w:rPr>
          <w:lang w:val="en-US"/>
        </w:rPr>
        <w:t xml:space="preserve">for example, whether </w:t>
      </w:r>
      <w:r w:rsidR="0046362F" w:rsidRPr="00366A33">
        <w:rPr>
          <w:lang w:val="en-US"/>
        </w:rPr>
        <w:t xml:space="preserve">there are locations susceptible to flooding </w:t>
      </w:r>
      <w:r w:rsidRPr="00366A33">
        <w:rPr>
          <w:lang w:val="en-US"/>
        </w:rPr>
        <w:t>downstream</w:t>
      </w:r>
      <w:r w:rsidR="0046362F" w:rsidRPr="00366A33">
        <w:rPr>
          <w:lang w:val="en-US"/>
        </w:rPr>
        <w:t>.</w:t>
      </w:r>
      <w:r w:rsidRPr="00366A33">
        <w:rPr>
          <w:lang w:val="en-US"/>
        </w:rPr>
        <w:t>. During intense storms, even well</w:t>
      </w:r>
      <w:r w:rsidRPr="00366A33">
        <w:rPr>
          <w:rFonts w:ascii="Cambria Math" w:hAnsi="Cambria Math" w:cs="Cambria Math"/>
          <w:lang w:val="en-US"/>
        </w:rPr>
        <w:t>‑</w:t>
      </w:r>
      <w:r w:rsidRPr="00366A33">
        <w:rPr>
          <w:lang w:val="en-US"/>
        </w:rPr>
        <w:t>designed local infiltration or detention measures may provide limited benefit if downstream units reach capacity sooner than expected.</w:t>
      </w:r>
      <w:r w:rsidR="00616270" w:rsidRPr="00366A33">
        <w:rPr>
          <w:lang w:val="en-US"/>
        </w:rPr>
        <w:t xml:space="preserve"> Because downstream hydraulic conditions vary strongly across storm types and spatially across the network, network</w:t>
      </w:r>
      <w:r w:rsidR="00616270" w:rsidRPr="00366A33">
        <w:rPr>
          <w:rFonts w:ascii="Cambria Math" w:hAnsi="Cambria Math" w:cs="Cambria Math"/>
          <w:lang w:val="en-US"/>
        </w:rPr>
        <w:t>‑</w:t>
      </w:r>
      <w:r w:rsidR="00616270" w:rsidRPr="00366A33">
        <w:rPr>
          <w:lang w:val="en-US"/>
        </w:rPr>
        <w:t>wide state estimation is needed to understand where water can be stored or evacuated efficiently and to support coordinated operation of both local nature</w:t>
      </w:r>
      <w:r w:rsidR="00616270" w:rsidRPr="00366A33">
        <w:rPr>
          <w:rFonts w:ascii="Cambria Math" w:hAnsi="Cambria Math" w:cs="Cambria Math"/>
          <w:lang w:val="en-US"/>
        </w:rPr>
        <w:t>‑</w:t>
      </w:r>
      <w:r w:rsidR="00616270" w:rsidRPr="00366A33">
        <w:rPr>
          <w:lang w:val="en-US"/>
        </w:rPr>
        <w:t>based solutions and centralized sewer assets.</w:t>
      </w:r>
    </w:p>
    <w:p w14:paraId="635B8DD1" w14:textId="7AE94B64" w:rsidR="00675070" w:rsidRPr="0069170D" w:rsidRDefault="00675070" w:rsidP="00F966C2">
      <w:pPr>
        <w:rPr>
          <w:lang w:val="en-US"/>
        </w:rPr>
      </w:pPr>
      <w:r w:rsidRPr="00344CBC">
        <w:rPr>
          <w:lang w:val="en-US"/>
        </w:rPr>
        <w:t xml:space="preserve">Recent advances in hydraulic digital twins offer new opportunities for decision support but require fast, accurate, and scalable state-estimation tools capable of operating under multiple rainfall and flow scenarios. </w:t>
      </w:r>
      <w:r w:rsidRPr="0069170D">
        <w:rPr>
          <w:lang w:val="en-US"/>
        </w:rPr>
        <w:t xml:space="preserve">Physics-based models (e.g., </w:t>
      </w:r>
      <w:proofErr w:type="spellStart"/>
      <w:r w:rsidRPr="0069170D">
        <w:rPr>
          <w:lang w:val="en-US"/>
        </w:rPr>
        <w:t>InfoWorks</w:t>
      </w:r>
      <w:proofErr w:type="spellEnd"/>
      <w:r w:rsidRPr="0069170D">
        <w:rPr>
          <w:lang w:val="en-US"/>
        </w:rPr>
        <w:t xml:space="preserve"> ICM, SWMM) provide high-fidelity simulations but are computationally expensive, limiting their use in real-time monitoring or operational optimization</w:t>
      </w:r>
      <w:r w:rsidR="0069170D" w:rsidRPr="0069170D">
        <w:rPr>
          <w:lang w:val="en-US"/>
        </w:rPr>
        <w:t xml:space="preserve"> </w:t>
      </w:r>
      <w:r w:rsidR="00B6717F">
        <w:rPr>
          <w:lang w:val="en-US"/>
        </w:rPr>
        <w:t>(Garzon et. Al.)</w:t>
      </w:r>
    </w:p>
    <w:p w14:paraId="4A5C7746" w14:textId="44BB5998" w:rsidR="00675070" w:rsidRPr="001843A3" w:rsidRDefault="00C24872" w:rsidP="00F966C2">
      <w:pPr>
        <w:rPr>
          <w:lang w:val="en-US"/>
        </w:rPr>
      </w:pPr>
      <w:r w:rsidRPr="00C24872">
        <w:rPr>
          <w:lang w:val="en-US"/>
        </w:rPr>
        <w:t xml:space="preserve">Graph Neural Networks (GNNs), which natively leverage the spatial structure of drainage systems, offer an attractive surrogate modelling alternative for rapid prediction of system states. This paper investigates the use of the </w:t>
      </w:r>
      <w:proofErr w:type="spellStart"/>
      <w:r w:rsidRPr="00C24872">
        <w:rPr>
          <w:lang w:val="en-US"/>
        </w:rPr>
        <w:t>GATRes</w:t>
      </w:r>
      <w:proofErr w:type="spellEnd"/>
      <w:r w:rsidRPr="00C24872">
        <w:rPr>
          <w:lang w:val="en-US"/>
        </w:rPr>
        <w:t xml:space="preserve"> GNN architecture for water-level estimation </w:t>
      </w:r>
      <w:r>
        <w:rPr>
          <w:lang w:val="en-US"/>
        </w:rPr>
        <w:t xml:space="preserve">(Huy et. Al.) </w:t>
      </w:r>
      <w:r w:rsidRPr="00C24872">
        <w:rPr>
          <w:lang w:val="en-US"/>
        </w:rPr>
        <w:t>in wastewater/stormwater networks under diverse flow scenarios, including extreme events expected to increase with climate change</w:t>
      </w:r>
      <w:r w:rsidR="00675070" w:rsidRPr="001843A3">
        <w:rPr>
          <w:lang w:val="en-US"/>
        </w:rPr>
        <w:t>.</w:t>
      </w:r>
    </w:p>
    <w:p w14:paraId="585884EE" w14:textId="47C9A9AE" w:rsidR="00675070" w:rsidRPr="002B4847" w:rsidRDefault="00675070" w:rsidP="00F966C2">
      <w:pPr>
        <w:rPr>
          <w:lang w:val="en-US"/>
        </w:rPr>
      </w:pPr>
      <w:r w:rsidRPr="00775578">
        <w:rPr>
          <w:lang w:val="en-US"/>
        </w:rPr>
        <w:t xml:space="preserve">Using a calibrated model of the </w:t>
      </w:r>
      <w:proofErr w:type="spellStart"/>
      <w:r w:rsidRPr="00775578">
        <w:rPr>
          <w:lang w:val="en-US"/>
        </w:rPr>
        <w:t>Heusden</w:t>
      </w:r>
      <w:proofErr w:type="spellEnd"/>
      <w:r w:rsidRPr="00775578">
        <w:rPr>
          <w:lang w:val="en-US"/>
        </w:rPr>
        <w:t xml:space="preserve"> </w:t>
      </w:r>
      <w:r w:rsidR="00775578" w:rsidRPr="00775578">
        <w:rPr>
          <w:lang w:val="en-US"/>
        </w:rPr>
        <w:t>wa</w:t>
      </w:r>
      <w:r w:rsidR="00775578">
        <w:rPr>
          <w:lang w:val="en-US"/>
        </w:rPr>
        <w:t>stewater</w:t>
      </w:r>
      <w:r w:rsidRPr="00775578">
        <w:rPr>
          <w:lang w:val="en-US"/>
        </w:rPr>
        <w:t xml:space="preserve"> system (Netherlands), we evaluate the ability of a GNN surrogate to reconstruct water levels across the network from sparse sensor inputs under a broad range of rainfall intensities, including extreme scenarios. </w:t>
      </w:r>
      <w:r w:rsidRPr="002B4847">
        <w:rPr>
          <w:lang w:val="en-US"/>
        </w:rPr>
        <w:t>External validation on an independent stormwater network (</w:t>
      </w:r>
      <w:proofErr w:type="spellStart"/>
      <w:r w:rsidRPr="002B4847">
        <w:rPr>
          <w:lang w:val="en-US"/>
        </w:rPr>
        <w:t>Shunqing</w:t>
      </w:r>
      <w:proofErr w:type="spellEnd"/>
      <w:r w:rsidRPr="002B4847">
        <w:rPr>
          <w:lang w:val="en-US"/>
        </w:rPr>
        <w:t>, China) further assesses the robustness of the approach.</w:t>
      </w:r>
    </w:p>
    <w:p w14:paraId="56F089C2" w14:textId="1B23F5F3" w:rsidR="00675070" w:rsidRDefault="00C24872" w:rsidP="00F966C2">
      <w:pPr>
        <w:rPr>
          <w:lang w:val="en-US"/>
        </w:rPr>
      </w:pPr>
      <w:r w:rsidRPr="00C24872">
        <w:rPr>
          <w:lang w:val="en-US"/>
        </w:rPr>
        <w:t xml:space="preserve">This work supports improved operational decision-making in drainage systems, enhances their resilience to climate uncertainty, and offers a transferable tool for digital-twin applications focused on both centralized pipes and local source-control structures. </w:t>
      </w:r>
    </w:p>
    <w:p w14:paraId="3828FA50" w14:textId="10440DEC" w:rsidR="002B4847" w:rsidRPr="00C24872" w:rsidRDefault="002B4847" w:rsidP="00F966C2">
      <w:pPr>
        <w:rPr>
          <w:lang w:val="en-US"/>
        </w:rPr>
      </w:pPr>
      <w:r w:rsidRPr="002B4847">
        <w:rPr>
          <w:lang w:val="en-US"/>
        </w:rPr>
        <w:t>This paper is a complementary dissemination tailored to stormwater management practitioners, with a focus on flow-scenario analysis, climate-resilience implications, and operational integration of source-control assets</w:t>
      </w:r>
      <w:r>
        <w:rPr>
          <w:lang w:val="en-US"/>
        </w:rPr>
        <w:t xml:space="preserve">. See (El Ghabi et. Al.) for the detailed technical </w:t>
      </w:r>
      <w:r w:rsidRPr="002B4847">
        <w:rPr>
          <w:lang w:val="en-US"/>
        </w:rPr>
        <w:t>version focus</w:t>
      </w:r>
      <w:r>
        <w:rPr>
          <w:lang w:val="en-US"/>
        </w:rPr>
        <w:t>ing</w:t>
      </w:r>
      <w:r w:rsidRPr="002B4847">
        <w:rPr>
          <w:lang w:val="en-US"/>
        </w:rPr>
        <w:t xml:space="preserve"> on AI methodology.</w:t>
      </w:r>
    </w:p>
    <w:p w14:paraId="74099940" w14:textId="5C58A851" w:rsidR="00C31BFD" w:rsidRPr="005D6F11" w:rsidRDefault="00675070" w:rsidP="009D500F">
      <w:pPr>
        <w:pStyle w:val="Heading1"/>
      </w:pPr>
      <w:r>
        <w:t>Methodology</w:t>
      </w:r>
    </w:p>
    <w:p w14:paraId="2F49287C" w14:textId="3051D36A" w:rsidR="00C31BFD" w:rsidRDefault="00675070" w:rsidP="009D500F">
      <w:pPr>
        <w:pStyle w:val="Heading2"/>
      </w:pPr>
      <w:proofErr w:type="spellStart"/>
      <w:r w:rsidRPr="00675070">
        <w:t>Overall</w:t>
      </w:r>
      <w:proofErr w:type="spellEnd"/>
      <w:r w:rsidRPr="00675070">
        <w:t xml:space="preserve"> </w:t>
      </w:r>
      <w:proofErr w:type="spellStart"/>
      <w:r w:rsidRPr="00675070">
        <w:t>approach</w:t>
      </w:r>
      <w:proofErr w:type="spellEnd"/>
    </w:p>
    <w:p w14:paraId="273C8F3F" w14:textId="139031D7" w:rsidR="00675070" w:rsidRPr="00675070" w:rsidRDefault="00675070" w:rsidP="00775578">
      <w:pPr>
        <w:rPr>
          <w:lang w:val="en-GB"/>
        </w:rPr>
      </w:pPr>
      <w:r w:rsidRPr="00675070">
        <w:rPr>
          <w:lang w:val="en-GB"/>
        </w:rPr>
        <w:t>The workflow integrates hydraulic simulation, data preprocessing, and GNN surrogate modelling</w:t>
      </w:r>
      <w:r w:rsidR="00775578">
        <w:rPr>
          <w:lang w:val="en-GB"/>
        </w:rPr>
        <w:t xml:space="preserve">. </w:t>
      </w:r>
      <w:r w:rsidRPr="00675070">
        <w:rPr>
          <w:lang w:val="en-GB"/>
        </w:rPr>
        <w:t xml:space="preserve">A calibrated </w:t>
      </w:r>
      <w:proofErr w:type="spellStart"/>
      <w:r w:rsidRPr="00675070">
        <w:rPr>
          <w:lang w:val="en-GB"/>
        </w:rPr>
        <w:t>InfoWorks</w:t>
      </w:r>
      <w:proofErr w:type="spellEnd"/>
      <w:r w:rsidRPr="00675070">
        <w:rPr>
          <w:lang w:val="en-GB"/>
        </w:rPr>
        <w:t xml:space="preserve"> ICM model generates synthetic flow scenarios for the </w:t>
      </w:r>
      <w:proofErr w:type="spellStart"/>
      <w:r w:rsidRPr="00675070">
        <w:rPr>
          <w:lang w:val="en-GB"/>
        </w:rPr>
        <w:t>Heusden</w:t>
      </w:r>
      <w:proofErr w:type="spellEnd"/>
      <w:r w:rsidRPr="00675070">
        <w:rPr>
          <w:lang w:val="en-GB"/>
        </w:rPr>
        <w:t xml:space="preserve"> network.</w:t>
      </w:r>
      <w:r w:rsidR="00775578">
        <w:rPr>
          <w:lang w:val="en-GB"/>
        </w:rPr>
        <w:t xml:space="preserve"> </w:t>
      </w:r>
      <w:r w:rsidRPr="00675070">
        <w:rPr>
          <w:lang w:val="en-GB"/>
        </w:rPr>
        <w:t>Each timestep is converted into an independent graph snapshot representing spatial hydraulic states.</w:t>
      </w:r>
      <w:r w:rsidR="00775578">
        <w:rPr>
          <w:lang w:val="en-GB"/>
        </w:rPr>
        <w:t xml:space="preserve"> </w:t>
      </w:r>
      <w:r w:rsidRPr="00675070">
        <w:rPr>
          <w:lang w:val="en-GB"/>
        </w:rPr>
        <w:t>Sparse-sensing conditions are emulated by masking node values.</w:t>
      </w:r>
      <w:r w:rsidR="00775578">
        <w:rPr>
          <w:lang w:val="en-GB"/>
        </w:rPr>
        <w:t xml:space="preserve"> </w:t>
      </w:r>
      <w:r w:rsidRPr="00675070">
        <w:rPr>
          <w:lang w:val="en-GB"/>
        </w:rPr>
        <w:t xml:space="preserve">A </w:t>
      </w:r>
      <w:proofErr w:type="spellStart"/>
      <w:r w:rsidRPr="00675070">
        <w:rPr>
          <w:lang w:val="en-GB"/>
        </w:rPr>
        <w:t>GATRes</w:t>
      </w:r>
      <w:proofErr w:type="spellEnd"/>
      <w:r w:rsidRPr="00675070">
        <w:rPr>
          <w:lang w:val="en-GB"/>
        </w:rPr>
        <w:t xml:space="preserve"> GNN model is trained to reconstruct masked water levels.</w:t>
      </w:r>
      <w:r w:rsidR="00775578">
        <w:rPr>
          <w:lang w:val="en-GB"/>
        </w:rPr>
        <w:t xml:space="preserve"> Finally, p</w:t>
      </w:r>
      <w:r w:rsidRPr="00675070">
        <w:rPr>
          <w:lang w:val="en-GB"/>
        </w:rPr>
        <w:t>erformance is evaluated across multiple rainfall intensities and flow scenarios.</w:t>
      </w:r>
    </w:p>
    <w:p w14:paraId="59502FF0" w14:textId="11DD9845" w:rsidR="00675070" w:rsidRPr="00675070" w:rsidRDefault="00675070" w:rsidP="00675070">
      <w:pPr>
        <w:pStyle w:val="Heading2"/>
        <w:rPr>
          <w:lang w:val="en-US"/>
        </w:rPr>
      </w:pPr>
      <w:r w:rsidRPr="00675070">
        <w:rPr>
          <w:lang w:val="en-US"/>
        </w:rPr>
        <w:t>Hydraulic simulation and flow scenarios</w:t>
      </w:r>
    </w:p>
    <w:p w14:paraId="6CD46331" w14:textId="2C87300E" w:rsidR="00675070" w:rsidRPr="00675070" w:rsidRDefault="00675070" w:rsidP="00F966C2">
      <w:pPr>
        <w:rPr>
          <w:lang w:val="en-GB"/>
        </w:rPr>
      </w:pPr>
      <w:r w:rsidRPr="00675070">
        <w:rPr>
          <w:lang w:val="en-GB"/>
        </w:rPr>
        <w:t xml:space="preserve">The </w:t>
      </w:r>
      <w:proofErr w:type="spellStart"/>
      <w:r w:rsidRPr="00675070">
        <w:rPr>
          <w:lang w:val="en-GB"/>
        </w:rPr>
        <w:t>Heusden</w:t>
      </w:r>
      <w:proofErr w:type="spellEnd"/>
      <w:r w:rsidRPr="00675070">
        <w:rPr>
          <w:lang w:val="en-GB"/>
        </w:rPr>
        <w:t xml:space="preserve"> model includes 894 nodes and 968 links, representing manholes, conduits, pumps, weirs, and outfalls. Synthetic data were generated following Dutch reference "Bui" rainfall events (Bui#01–Bui#10), covering:</w:t>
      </w:r>
      <w:r w:rsidR="00775578">
        <w:rPr>
          <w:lang w:val="en-GB"/>
        </w:rPr>
        <w:t xml:space="preserve"> 1) </w:t>
      </w:r>
      <w:r w:rsidRPr="00675070">
        <w:rPr>
          <w:lang w:val="en-GB"/>
        </w:rPr>
        <w:t>low-intensity rainfall (0.25–0.5-year return),</w:t>
      </w:r>
      <w:r w:rsidR="00775578">
        <w:rPr>
          <w:lang w:val="en-GB"/>
        </w:rPr>
        <w:t xml:space="preserve"> 2) </w:t>
      </w:r>
      <w:r w:rsidRPr="00675070">
        <w:rPr>
          <w:lang w:val="en-GB"/>
        </w:rPr>
        <w:t>medium intensity (1-year),</w:t>
      </w:r>
      <w:r w:rsidR="00775578">
        <w:rPr>
          <w:lang w:val="en-GB"/>
        </w:rPr>
        <w:t xml:space="preserve"> 3) </w:t>
      </w:r>
      <w:r w:rsidRPr="00675070">
        <w:rPr>
          <w:lang w:val="en-GB"/>
        </w:rPr>
        <w:t>high intensity (2-year),</w:t>
      </w:r>
      <w:r w:rsidR="00775578">
        <w:rPr>
          <w:lang w:val="en-GB"/>
        </w:rPr>
        <w:t xml:space="preserve"> 4) </w:t>
      </w:r>
      <w:r w:rsidRPr="00675070">
        <w:rPr>
          <w:lang w:val="en-GB"/>
        </w:rPr>
        <w:t>extreme rainfall (5–10-year return periods).</w:t>
      </w:r>
      <w:r w:rsidR="00775578">
        <w:rPr>
          <w:lang w:val="en-GB"/>
        </w:rPr>
        <w:t xml:space="preserve"> </w:t>
      </w:r>
      <w:r w:rsidRPr="00675070">
        <w:rPr>
          <w:lang w:val="en-GB"/>
        </w:rPr>
        <w:t>These scenarios allow the assessment of GNN behaviour under routine, high-flow, and extreme-event conditions</w:t>
      </w:r>
      <w:r w:rsidR="00775578">
        <w:rPr>
          <w:lang w:val="en-GB"/>
        </w:rPr>
        <w:t xml:space="preserve"> (see </w:t>
      </w:r>
      <w:r w:rsidR="00775578" w:rsidRPr="00775578">
        <w:rPr>
          <w:rStyle w:val="IntenseReference"/>
          <w:rFonts w:cstheme="minorHAnsi"/>
          <w:lang w:val="en-US"/>
        </w:rPr>
        <w:t>RIONED</w:t>
      </w:r>
      <w:r w:rsidR="00775578">
        <w:rPr>
          <w:rStyle w:val="IntenseReference"/>
          <w:rFonts w:cstheme="minorHAnsi"/>
          <w:lang w:val="en-US"/>
        </w:rPr>
        <w:t>)</w:t>
      </w:r>
      <w:r w:rsidRPr="00675070">
        <w:rPr>
          <w:lang w:val="en-GB"/>
        </w:rPr>
        <w:t>.</w:t>
      </w:r>
    </w:p>
    <w:p w14:paraId="2AEE312F" w14:textId="62BE0145" w:rsidR="00675070" w:rsidRPr="00675070" w:rsidRDefault="00675070" w:rsidP="00675070">
      <w:pPr>
        <w:pStyle w:val="Heading2"/>
        <w:rPr>
          <w:lang w:val="en-US"/>
        </w:rPr>
      </w:pPr>
      <w:r w:rsidRPr="00675070">
        <w:rPr>
          <w:lang w:val="en-US"/>
        </w:rPr>
        <w:t>Graph representation and GNN model</w:t>
      </w:r>
    </w:p>
    <w:p w14:paraId="520247CF" w14:textId="01E80DB0" w:rsidR="00675070" w:rsidRPr="00675070" w:rsidRDefault="00675070" w:rsidP="00F966C2">
      <w:pPr>
        <w:rPr>
          <w:lang w:val="en-GB"/>
        </w:rPr>
      </w:pPr>
      <w:r w:rsidRPr="00675070">
        <w:rPr>
          <w:lang w:val="en-GB"/>
        </w:rPr>
        <w:t xml:space="preserve">The </w:t>
      </w:r>
      <w:r w:rsidR="00534358">
        <w:rPr>
          <w:lang w:val="en-GB"/>
        </w:rPr>
        <w:t>wastewater</w:t>
      </w:r>
      <w:r w:rsidRPr="00675070">
        <w:rPr>
          <w:lang w:val="en-GB"/>
        </w:rPr>
        <w:t xml:space="preserve"> network is represented as a directed graph. Node features correspond to hydraulic states (water level or flood depth), while edges represent physical links.</w:t>
      </w:r>
      <w:r w:rsidR="005752AA">
        <w:rPr>
          <w:lang w:val="en-GB"/>
        </w:rPr>
        <w:t xml:space="preserve"> </w:t>
      </w:r>
      <w:r w:rsidRPr="00675070">
        <w:rPr>
          <w:lang w:val="en-GB"/>
        </w:rPr>
        <w:t xml:space="preserve">The </w:t>
      </w:r>
      <w:proofErr w:type="spellStart"/>
      <w:r w:rsidRPr="00675070">
        <w:rPr>
          <w:lang w:val="en-GB"/>
        </w:rPr>
        <w:t>GATRes</w:t>
      </w:r>
      <w:proofErr w:type="spellEnd"/>
      <w:r w:rsidRPr="00675070">
        <w:rPr>
          <w:lang w:val="en-GB"/>
        </w:rPr>
        <w:t xml:space="preserve"> model combines graph attention layers and residual connections to capture long-range dependencies, a key property for modelling flow propagation.</w:t>
      </w:r>
      <w:r w:rsidR="005752AA">
        <w:rPr>
          <w:lang w:val="en-GB"/>
        </w:rPr>
        <w:t xml:space="preserve"> </w:t>
      </w:r>
      <w:r w:rsidRPr="00675070">
        <w:rPr>
          <w:lang w:val="en-GB"/>
        </w:rPr>
        <w:lastRenderedPageBreak/>
        <w:t>During training, a fixed subset of nodes is treated as “observed sensors”, while the rest are masked. The model minimizes the masked Mean Absolute Error (MAE) between predicted and true values.</w:t>
      </w:r>
    </w:p>
    <w:p w14:paraId="3C89B0DC" w14:textId="46B779DC" w:rsidR="00675070" w:rsidRDefault="00675070" w:rsidP="00675070">
      <w:pPr>
        <w:pStyle w:val="Heading2"/>
      </w:pPr>
      <w:proofErr w:type="spellStart"/>
      <w:r>
        <w:t>External</w:t>
      </w:r>
      <w:proofErr w:type="spellEnd"/>
      <w:r>
        <w:t xml:space="preserve"> validation </w:t>
      </w:r>
      <w:proofErr w:type="spellStart"/>
      <w:r>
        <w:t>dataset</w:t>
      </w:r>
      <w:proofErr w:type="spellEnd"/>
    </w:p>
    <w:p w14:paraId="0952B301" w14:textId="70A4A8E7" w:rsidR="00675070" w:rsidRDefault="00675070" w:rsidP="00F966C2">
      <w:pPr>
        <w:rPr>
          <w:lang w:val="en-GB"/>
        </w:rPr>
      </w:pPr>
      <w:r w:rsidRPr="00675070">
        <w:rPr>
          <w:lang w:val="en-GB"/>
        </w:rPr>
        <w:t xml:space="preserve">To evaluate portability, the model is also trained and evaluated on the </w:t>
      </w:r>
      <w:proofErr w:type="spellStart"/>
      <w:r w:rsidRPr="00675070">
        <w:rPr>
          <w:lang w:val="en-GB"/>
        </w:rPr>
        <w:t>Shunqing</w:t>
      </w:r>
      <w:proofErr w:type="spellEnd"/>
      <w:r w:rsidRPr="00675070">
        <w:rPr>
          <w:lang w:val="en-GB"/>
        </w:rPr>
        <w:t xml:space="preserve"> stormwater network (105 nodes, SWMM-based simulations) covering 148 real rainfall events.</w:t>
      </w:r>
    </w:p>
    <w:p w14:paraId="20F5D83C" w14:textId="7ED63CB7" w:rsidR="00675070" w:rsidRDefault="00675070" w:rsidP="00675070">
      <w:pPr>
        <w:pStyle w:val="Heading1"/>
        <w:rPr>
          <w:rFonts w:ascii="Times New Roman" w:hAnsi="Times New Roman"/>
          <w:szCs w:val="48"/>
        </w:rPr>
      </w:pPr>
      <w:r>
        <w:t>Results</w:t>
      </w:r>
    </w:p>
    <w:p w14:paraId="127549F2" w14:textId="6DC98971" w:rsidR="00675070" w:rsidRPr="00675070" w:rsidRDefault="00675070" w:rsidP="00675070">
      <w:pPr>
        <w:pStyle w:val="Heading2"/>
        <w:rPr>
          <w:lang w:val="en-US"/>
        </w:rPr>
      </w:pPr>
      <w:r w:rsidRPr="00675070">
        <w:rPr>
          <w:lang w:val="en-US"/>
        </w:rPr>
        <w:t>Performance under diverse rainfall intensities</w:t>
      </w:r>
    </w:p>
    <w:p w14:paraId="3E427F72" w14:textId="3F03B6CE" w:rsidR="009F3E62" w:rsidRPr="009F3E62" w:rsidRDefault="00675070" w:rsidP="009F3E62">
      <w:pPr>
        <w:rPr>
          <w:lang w:val="en-US"/>
        </w:rPr>
      </w:pPr>
      <w:r w:rsidRPr="00775578">
        <w:rPr>
          <w:lang w:val="en-US"/>
        </w:rPr>
        <w:t xml:space="preserve">Across </w:t>
      </w:r>
      <w:proofErr w:type="spellStart"/>
      <w:r w:rsidRPr="00775578">
        <w:rPr>
          <w:lang w:val="en-US"/>
        </w:rPr>
        <w:t>Heusden</w:t>
      </w:r>
      <w:proofErr w:type="spellEnd"/>
      <w:r w:rsidRPr="00775578">
        <w:rPr>
          <w:lang w:val="en-US"/>
        </w:rPr>
        <w:t xml:space="preserve"> scenarios, the GNN surrogate achieves</w:t>
      </w:r>
      <w:r w:rsidR="00775578" w:rsidRPr="00775578">
        <w:rPr>
          <w:lang w:val="en-US"/>
        </w:rPr>
        <w:t xml:space="preserve"> </w:t>
      </w:r>
      <w:r w:rsidRPr="00775578">
        <w:rPr>
          <w:rStyle w:val="Strong"/>
          <w:b w:val="0"/>
          <w:bCs w:val="0"/>
          <w:lang w:val="en-US"/>
        </w:rPr>
        <w:t>20</w:t>
      </w:r>
      <w:r w:rsidR="00775578" w:rsidRPr="00775578">
        <w:rPr>
          <w:rStyle w:val="Strong"/>
          <w:b w:val="0"/>
          <w:bCs w:val="0"/>
          <w:lang w:val="en-US"/>
        </w:rPr>
        <w:t xml:space="preserve"> - </w:t>
      </w:r>
      <w:r w:rsidRPr="00775578">
        <w:rPr>
          <w:rStyle w:val="Strong"/>
          <w:b w:val="0"/>
          <w:bCs w:val="0"/>
          <w:lang w:val="en-US"/>
        </w:rPr>
        <w:t>50 cm MAE</w:t>
      </w:r>
      <w:r w:rsidRPr="00775578">
        <w:rPr>
          <w:lang w:val="en-US"/>
        </w:rPr>
        <w:t xml:space="preserve"> for most nodes,</w:t>
      </w:r>
      <w:r w:rsidR="00775578">
        <w:rPr>
          <w:lang w:val="en-US"/>
        </w:rPr>
        <w:t xml:space="preserve"> </w:t>
      </w:r>
      <w:r w:rsidRPr="00775578">
        <w:rPr>
          <w:lang w:val="en-US"/>
        </w:rPr>
        <w:t>consistent p</w:t>
      </w:r>
      <w:r w:rsidRPr="00366A33">
        <w:rPr>
          <w:lang w:val="en-US"/>
        </w:rPr>
        <w:t>erformance across low, medium, and high-intensity rainfall,</w:t>
      </w:r>
      <w:r w:rsidR="00775578" w:rsidRPr="00366A33">
        <w:rPr>
          <w:lang w:val="en-US"/>
        </w:rPr>
        <w:t xml:space="preserve"> </w:t>
      </w:r>
      <w:r w:rsidRPr="00366A33">
        <w:rPr>
          <w:lang w:val="en-US"/>
        </w:rPr>
        <w:t>bounded errors even in extreme rainfall conditions.</w:t>
      </w:r>
      <w:r w:rsidR="00775578" w:rsidRPr="00366A33">
        <w:rPr>
          <w:lang w:val="en-US"/>
        </w:rPr>
        <w:t xml:space="preserve"> </w:t>
      </w:r>
      <w:r w:rsidR="005A17EC" w:rsidRPr="00366A33">
        <w:rPr>
          <w:lang w:val="en-US"/>
        </w:rPr>
        <w:t>While MAE provides an overall indicator of accuracy, its operational significance varies by context. A 50 cm deviation at a below</w:t>
      </w:r>
      <w:r w:rsidR="005A17EC" w:rsidRPr="00366A33">
        <w:rPr>
          <w:rFonts w:ascii="Cambria Math" w:hAnsi="Cambria Math" w:cs="Cambria Math"/>
          <w:lang w:val="en-US"/>
        </w:rPr>
        <w:t>‑</w:t>
      </w:r>
      <w:r w:rsidR="005A17EC" w:rsidRPr="00366A33">
        <w:rPr>
          <w:lang w:val="en-US"/>
        </w:rPr>
        <w:t xml:space="preserve">ground node may still correctly indicate that the system operates within design capacity, whereas smaller errors at nodes where water levels approach or exceed ground elevation may critically affect flood-risk interpretation. Similarly, for operational decisions such as pump activation, the relevant performance criterion is whether the model correctly identifies threshold exceedance rather than the exact numerical deviation. </w:t>
      </w:r>
      <w:r w:rsidRPr="00366A33">
        <w:rPr>
          <w:lang w:val="en-US"/>
        </w:rPr>
        <w:t>Peak flows produce larger local errors due to sudden water-level transitions near hydraulic structures.</w:t>
      </w:r>
      <w:r w:rsidR="005A17EC" w:rsidRPr="00366A33">
        <w:rPr>
          <w:lang w:val="en-US"/>
        </w:rPr>
        <w:t xml:space="preserve"> Future work will therefore explicitly assess flooding classification accuracy, including whether exceedance of ground level and potential surcharge events are reliably predicted.</w:t>
      </w:r>
    </w:p>
    <w:p w14:paraId="03823394" w14:textId="775930B5" w:rsidR="00675070" w:rsidRPr="005A17EC" w:rsidRDefault="00675070" w:rsidP="00760FE2">
      <w:pPr>
        <w:pStyle w:val="Heading2"/>
        <w:rPr>
          <w:lang w:val="en-US"/>
        </w:rPr>
      </w:pPr>
      <w:r w:rsidRPr="005A17EC">
        <w:rPr>
          <w:lang w:val="en-US"/>
        </w:rPr>
        <w:t>Spatial error patterns</w:t>
      </w:r>
    </w:p>
    <w:p w14:paraId="62358116" w14:textId="6DBC5EC1" w:rsidR="006278A1" w:rsidRPr="00366A33" w:rsidRDefault="00675070" w:rsidP="00F966C2">
      <w:pPr>
        <w:rPr>
          <w:lang w:val="en-US"/>
        </w:rPr>
      </w:pPr>
      <w:r w:rsidRPr="00775578">
        <w:rPr>
          <w:lang w:val="en-US"/>
        </w:rPr>
        <w:t>Spatial distributions show</w:t>
      </w:r>
      <w:r w:rsidR="00775578" w:rsidRPr="00775578">
        <w:rPr>
          <w:lang w:val="en-US"/>
        </w:rPr>
        <w:t xml:space="preserve"> </w:t>
      </w:r>
      <w:r w:rsidRPr="00775578">
        <w:rPr>
          <w:lang w:val="en-US"/>
        </w:rPr>
        <w:t>low errors across most of the network,</w:t>
      </w:r>
      <w:r w:rsidR="00775578">
        <w:rPr>
          <w:lang w:val="en-US"/>
        </w:rPr>
        <w:t xml:space="preserve"> </w:t>
      </w:r>
      <w:r w:rsidRPr="00775578">
        <w:rPr>
          <w:lang w:val="en-US"/>
        </w:rPr>
        <w:t>higher errors near pumps, weirs, and outfalls due to nonlinear dynamics,</w:t>
      </w:r>
      <w:r w:rsidR="00775578" w:rsidRPr="00775578">
        <w:rPr>
          <w:lang w:val="en-US"/>
        </w:rPr>
        <w:t xml:space="preserve"> a</w:t>
      </w:r>
      <w:r w:rsidR="00775578">
        <w:rPr>
          <w:lang w:val="en-US"/>
        </w:rPr>
        <w:t xml:space="preserve">nd </w:t>
      </w:r>
      <w:r w:rsidRPr="00775578">
        <w:rPr>
          <w:lang w:val="en-US"/>
        </w:rPr>
        <w:t>stable performance under 30% virtual sensor availability</w:t>
      </w:r>
      <w:r w:rsidR="00C6799F">
        <w:rPr>
          <w:lang w:val="en-US"/>
        </w:rPr>
        <w:t xml:space="preserve"> </w:t>
      </w:r>
      <w:r w:rsidR="00C6799F" w:rsidRPr="00366A33">
        <w:rPr>
          <w:lang w:val="en-US"/>
        </w:rPr>
        <w:t>(</w:t>
      </w:r>
      <w:r w:rsidR="00EF70C3" w:rsidRPr="00366A33">
        <w:rPr>
          <w:lang w:val="en-US"/>
        </w:rPr>
        <w:t xml:space="preserve">used </w:t>
      </w:r>
      <w:r w:rsidR="00C6799F" w:rsidRPr="00366A33">
        <w:rPr>
          <w:lang w:val="en-US"/>
        </w:rPr>
        <w:t>as a controlled testbed to examine model performance across varying hydrological scenarios and sensing densities)</w:t>
      </w:r>
      <w:r w:rsidRPr="00366A33">
        <w:rPr>
          <w:lang w:val="en-US"/>
        </w:rPr>
        <w:t>.</w:t>
      </w:r>
      <w:r w:rsidR="00775578" w:rsidRPr="00366A33">
        <w:rPr>
          <w:lang w:val="en-US"/>
        </w:rPr>
        <w:t xml:space="preserve"> </w:t>
      </w:r>
      <w:r w:rsidR="00D90F71" w:rsidRPr="00366A33">
        <w:rPr>
          <w:lang w:val="en-US"/>
        </w:rPr>
        <w:t xml:space="preserve">We </w:t>
      </w:r>
      <w:r w:rsidR="006278A1" w:rsidRPr="00366A33">
        <w:rPr>
          <w:lang w:val="en-US"/>
        </w:rPr>
        <w:t>acknowledge that this does not reflect current real</w:t>
      </w:r>
      <w:r w:rsidR="006278A1" w:rsidRPr="00366A33">
        <w:rPr>
          <w:rFonts w:ascii="Cambria Math" w:hAnsi="Cambria Math" w:cs="Cambria Math"/>
          <w:lang w:val="en-US"/>
        </w:rPr>
        <w:t>‑</w:t>
      </w:r>
      <w:r w:rsidR="006278A1" w:rsidRPr="00366A33">
        <w:rPr>
          <w:lang w:val="en-US"/>
        </w:rPr>
        <w:t>world sensing practices. In operational systems, only 2</w:t>
      </w:r>
      <w:r w:rsidR="00C90267" w:rsidRPr="00366A33">
        <w:rPr>
          <w:rFonts w:ascii="Calibri" w:hAnsi="Calibri" w:cs="Calibri"/>
          <w:lang w:val="en-US"/>
        </w:rPr>
        <w:t>-</w:t>
      </w:r>
      <w:r w:rsidR="006278A1" w:rsidRPr="00366A33">
        <w:rPr>
          <w:lang w:val="en-US"/>
        </w:rPr>
        <w:t>3% of manholes typically host sensors, whereas ~100% virtual sensing can be achieved when a hydraulic model is frequently recalibrated for operational digital</w:t>
      </w:r>
      <w:r w:rsidR="006278A1" w:rsidRPr="00366A33">
        <w:rPr>
          <w:rFonts w:ascii="Cambria Math" w:hAnsi="Cambria Math" w:cs="Cambria Math"/>
          <w:lang w:val="en-US"/>
        </w:rPr>
        <w:t>‑</w:t>
      </w:r>
      <w:r w:rsidR="006278A1" w:rsidRPr="00366A33">
        <w:rPr>
          <w:lang w:val="en-US"/>
        </w:rPr>
        <w:t>twin use.</w:t>
      </w:r>
    </w:p>
    <w:p w14:paraId="1E535E43" w14:textId="0DAE92EB" w:rsidR="00675070" w:rsidRPr="00366A33" w:rsidRDefault="00675070" w:rsidP="00675070">
      <w:pPr>
        <w:pStyle w:val="Heading2"/>
        <w:rPr>
          <w:lang w:val="en-US"/>
        </w:rPr>
      </w:pPr>
      <w:r w:rsidRPr="00366A33">
        <w:rPr>
          <w:lang w:val="en-US"/>
        </w:rPr>
        <w:t>External validation</w:t>
      </w:r>
    </w:p>
    <w:p w14:paraId="02689B76" w14:textId="3174670C" w:rsidR="00C24872" w:rsidRDefault="00B935D5" w:rsidP="00B935D5">
      <w:pPr>
        <w:rPr>
          <w:lang w:val="en-US"/>
        </w:rPr>
      </w:pPr>
      <w:r w:rsidRPr="00366A33">
        <w:rPr>
          <w:lang w:val="en-US"/>
        </w:rPr>
        <w:t xml:space="preserve">Unlike </w:t>
      </w:r>
      <w:proofErr w:type="spellStart"/>
      <w:r w:rsidRPr="00366A33">
        <w:rPr>
          <w:lang w:val="en-US"/>
        </w:rPr>
        <w:t>Heusden</w:t>
      </w:r>
      <w:proofErr w:type="spellEnd"/>
      <w:r w:rsidRPr="00366A33">
        <w:rPr>
          <w:lang w:val="en-US"/>
        </w:rPr>
        <w:t xml:space="preserve">, which emphasizes flood depth in a large gravity-driven system, </w:t>
      </w:r>
      <w:proofErr w:type="spellStart"/>
      <w:r w:rsidRPr="00366A33">
        <w:rPr>
          <w:lang w:val="en-US"/>
        </w:rPr>
        <w:t>Shunqing</w:t>
      </w:r>
      <w:proofErr w:type="spellEnd"/>
      <w:r w:rsidRPr="00366A33">
        <w:rPr>
          <w:lang w:val="en-US"/>
        </w:rPr>
        <w:t xml:space="preserve"> focuses on cumulative flood volumes in a smaller stormwater network developed using SWMM. </w:t>
      </w:r>
      <w:r w:rsidR="00675070" w:rsidRPr="00366A33">
        <w:rPr>
          <w:lang w:val="en-US"/>
        </w:rPr>
        <w:t>On th</w:t>
      </w:r>
      <w:r w:rsidR="0093336A" w:rsidRPr="00366A33">
        <w:rPr>
          <w:lang w:val="en-US"/>
        </w:rPr>
        <w:t xml:space="preserve">is second network, </w:t>
      </w:r>
      <w:r w:rsidR="00675070" w:rsidRPr="00366A33">
        <w:rPr>
          <w:lang w:val="en-US"/>
        </w:rPr>
        <w:t>th</w:t>
      </w:r>
      <w:r w:rsidR="00675070" w:rsidRPr="00775578">
        <w:rPr>
          <w:lang w:val="en-US"/>
        </w:rPr>
        <w:t>e surrogate achieves</w:t>
      </w:r>
      <w:r w:rsidR="00775578" w:rsidRPr="00775578">
        <w:rPr>
          <w:lang w:val="en-US"/>
        </w:rPr>
        <w:t xml:space="preserve"> </w:t>
      </w:r>
      <w:r w:rsidR="00675070" w:rsidRPr="00775578">
        <w:rPr>
          <w:lang w:val="en-US"/>
        </w:rPr>
        <w:t xml:space="preserve">MAE ≈ </w:t>
      </w:r>
      <w:r w:rsidR="00675070" w:rsidRPr="00775578">
        <w:rPr>
          <w:rStyle w:val="Strong"/>
          <w:b w:val="0"/>
          <w:bCs w:val="0"/>
          <w:lang w:val="en-US"/>
        </w:rPr>
        <w:t>0.45 m³</w:t>
      </w:r>
      <w:r w:rsidR="00675070" w:rsidRPr="00775578">
        <w:rPr>
          <w:lang w:val="en-US"/>
        </w:rPr>
        <w:t>, representing ~2–3% of average flood volumes,</w:t>
      </w:r>
      <w:r w:rsidR="00775578">
        <w:rPr>
          <w:lang w:val="en-US"/>
        </w:rPr>
        <w:t xml:space="preserve"> and  </w:t>
      </w:r>
      <w:r w:rsidR="00675070" w:rsidRPr="00775578">
        <w:rPr>
          <w:lang w:val="en-US"/>
        </w:rPr>
        <w:t>robust estimation despite different topology and modelling framework.</w:t>
      </w:r>
      <w:r w:rsidR="00775578" w:rsidRPr="00775578">
        <w:rPr>
          <w:lang w:val="en-US"/>
        </w:rPr>
        <w:t xml:space="preserve"> </w:t>
      </w:r>
      <w:r w:rsidR="00675070" w:rsidRPr="00E762F7">
        <w:rPr>
          <w:lang w:val="en-US"/>
        </w:rPr>
        <w:t>This confirms cross-network applicability and generalization.</w:t>
      </w:r>
    </w:p>
    <w:p w14:paraId="7B21722D" w14:textId="0220A429" w:rsidR="00F966C2" w:rsidRDefault="00F966C2" w:rsidP="00C24872">
      <w:pPr>
        <w:pStyle w:val="Heading1"/>
        <w:rPr>
          <w:rFonts w:ascii="Times New Roman" w:hAnsi="Times New Roman"/>
          <w:szCs w:val="48"/>
        </w:rPr>
      </w:pPr>
      <w:r>
        <w:t>Discussion</w:t>
      </w:r>
    </w:p>
    <w:p w14:paraId="508E5C27" w14:textId="6D5EF8A2" w:rsidR="00B73648" w:rsidRDefault="00344CBC" w:rsidP="00B73648">
      <w:pPr>
        <w:rPr>
          <w:lang w:val="en-US"/>
        </w:rPr>
      </w:pPr>
      <w:r w:rsidRPr="00344CBC">
        <w:rPr>
          <w:lang w:val="en-US"/>
        </w:rPr>
        <w:t>The GNN-based surrogate provides clear advantages for stormwater system monitoring and climate</w:t>
      </w:r>
      <w:r w:rsidRPr="00344CBC">
        <w:rPr>
          <w:rFonts w:ascii="Cambria Math" w:hAnsi="Cambria Math" w:cs="Cambria Math"/>
          <w:lang w:val="en-US"/>
        </w:rPr>
        <w:t>‑</w:t>
      </w:r>
      <w:r w:rsidRPr="00344CBC">
        <w:rPr>
          <w:lang w:val="en-US"/>
        </w:rPr>
        <w:t xml:space="preserve">resilient operation. It enables scalable and rapid estimation across entire networks, and shows adaptability to diverse rainfall intensities and flow regimes, including extreme events expected under climate change. It also offers </w:t>
      </w:r>
      <w:r w:rsidR="008A0D17">
        <w:rPr>
          <w:lang w:val="en-US"/>
        </w:rPr>
        <w:t>potential for</w:t>
      </w:r>
      <w:r w:rsidRPr="00344CBC">
        <w:rPr>
          <w:lang w:val="en-US"/>
        </w:rPr>
        <w:t xml:space="preserve"> operational relevance, maintaining useful accuracy despite </w:t>
      </w:r>
      <w:r w:rsidR="008E1787">
        <w:rPr>
          <w:lang w:val="en-US"/>
        </w:rPr>
        <w:t>limited</w:t>
      </w:r>
      <w:r w:rsidRPr="00344CBC">
        <w:rPr>
          <w:lang w:val="en-US"/>
        </w:rPr>
        <w:t xml:space="preserve"> sensing</w:t>
      </w:r>
      <w:r w:rsidR="00C24872">
        <w:rPr>
          <w:lang w:val="en-US"/>
        </w:rPr>
        <w:t xml:space="preserve"> </w:t>
      </w:r>
      <w:r w:rsidRPr="00344CBC">
        <w:rPr>
          <w:lang w:val="en-US"/>
        </w:rPr>
        <w:t>which is typical in legacy stormwater infrastructure.</w:t>
      </w:r>
      <w:r>
        <w:rPr>
          <w:lang w:val="en-US"/>
        </w:rPr>
        <w:t xml:space="preserve"> </w:t>
      </w:r>
      <w:r w:rsidR="00AD0349" w:rsidRPr="00366A33">
        <w:rPr>
          <w:lang w:val="en-US"/>
        </w:rPr>
        <w:t>Note that t</w:t>
      </w:r>
      <w:r w:rsidR="008A0D17" w:rsidRPr="00366A33">
        <w:rPr>
          <w:lang w:val="en-US"/>
        </w:rPr>
        <w:t xml:space="preserve">he 30% sensing levels used in this study do not represent deployment expectations, but serve as controlled benchmarking to </w:t>
      </w:r>
      <w:proofErr w:type="spellStart"/>
      <w:r w:rsidR="008A0D17" w:rsidRPr="00366A33">
        <w:rPr>
          <w:lang w:val="en-US"/>
        </w:rPr>
        <w:t>analyse</w:t>
      </w:r>
      <w:proofErr w:type="spellEnd"/>
      <w:r w:rsidR="008A0D17" w:rsidRPr="00366A33">
        <w:rPr>
          <w:lang w:val="en-US"/>
        </w:rPr>
        <w:t xml:space="preserve"> performance under different flow scenarios and sensing densities.</w:t>
      </w:r>
      <w:r w:rsidR="00AD0349" w:rsidRPr="00366A33">
        <w:rPr>
          <w:lang w:val="en-US"/>
        </w:rPr>
        <w:t xml:space="preserve"> </w:t>
      </w:r>
      <w:r w:rsidRPr="00366A33">
        <w:rPr>
          <w:lang w:val="en-US"/>
        </w:rPr>
        <w:t>This provides insight int</w:t>
      </w:r>
      <w:r w:rsidRPr="00344CBC">
        <w:rPr>
          <w:lang w:val="en-US"/>
        </w:rPr>
        <w:t>o where and when estimation uncertainty emerges, supporting operational decisions such as dynamic pump control or anticipating surcharge risks in local source</w:t>
      </w:r>
      <w:r w:rsidRPr="00344CBC">
        <w:rPr>
          <w:rFonts w:ascii="Cambria Math" w:hAnsi="Cambria Math" w:cs="Cambria Math"/>
          <w:lang w:val="en-US"/>
        </w:rPr>
        <w:t>‑</w:t>
      </w:r>
      <w:r w:rsidRPr="00344CBC">
        <w:rPr>
          <w:lang w:val="en-US"/>
        </w:rPr>
        <w:t>control structures.</w:t>
      </w:r>
      <w:r>
        <w:rPr>
          <w:lang w:val="en-US"/>
        </w:rPr>
        <w:t xml:space="preserve"> </w:t>
      </w:r>
      <w:r w:rsidRPr="00344CBC">
        <w:rPr>
          <w:lang w:val="en-US"/>
        </w:rPr>
        <w:t>Limitations remain near pumps and outfalls during sharp transitions</w:t>
      </w:r>
      <w:r w:rsidRPr="00E61642">
        <w:rPr>
          <w:lang w:val="en-US"/>
        </w:rPr>
        <w:t xml:space="preserve">. </w:t>
      </w:r>
      <w:r w:rsidR="000376F6" w:rsidRPr="00E61642">
        <w:rPr>
          <w:lang w:val="en-US"/>
        </w:rPr>
        <w:t>In practice, improved knowledge of downstream surcharge and storage availability enables operators to judge when source</w:t>
      </w:r>
      <w:r w:rsidR="000376F6" w:rsidRPr="00E61642">
        <w:rPr>
          <w:rFonts w:ascii="Cambria Math" w:hAnsi="Cambria Math" w:cs="Cambria Math"/>
          <w:lang w:val="en-US"/>
        </w:rPr>
        <w:t>‑</w:t>
      </w:r>
      <w:r w:rsidR="000376F6" w:rsidRPr="00E61642">
        <w:rPr>
          <w:lang w:val="en-US"/>
        </w:rPr>
        <w:t>control measures continue to provide benefit during a storm, and when controlled upstream retention may be necessary instead to avoid overloading downstream assets. Future improvements may involve tailored scenario enrichment or hybrid physics</w:t>
      </w:r>
      <w:r w:rsidR="00273B25" w:rsidRPr="00E61642">
        <w:rPr>
          <w:lang w:val="en-US"/>
        </w:rPr>
        <w:t>-</w:t>
      </w:r>
      <w:r w:rsidR="000376F6" w:rsidRPr="00E61642">
        <w:rPr>
          <w:lang w:val="en-US"/>
        </w:rPr>
        <w:t xml:space="preserve">AI approaches to better capture nonlinear behavior. </w:t>
      </w:r>
      <w:r w:rsidRPr="00E61642">
        <w:rPr>
          <w:lang w:val="en-US"/>
        </w:rPr>
        <w:t>Overall, the app</w:t>
      </w:r>
      <w:r w:rsidRPr="00344CBC">
        <w:rPr>
          <w:lang w:val="en-US"/>
        </w:rPr>
        <w:t>roach advances digital</w:t>
      </w:r>
      <w:r w:rsidRPr="00344CBC">
        <w:rPr>
          <w:rFonts w:ascii="Cambria Math" w:hAnsi="Cambria Math" w:cs="Cambria Math"/>
          <w:lang w:val="en-US"/>
        </w:rPr>
        <w:t>‑</w:t>
      </w:r>
      <w:r w:rsidRPr="00344CBC">
        <w:rPr>
          <w:lang w:val="en-US"/>
        </w:rPr>
        <w:t>twin capabilities by reinforcing situational awareness under uncertain climatic conditions and supporting adaptive stormwater system management.</w:t>
      </w:r>
      <w:r>
        <w:rPr>
          <w:lang w:val="en-US"/>
        </w:rPr>
        <w:t xml:space="preserve"> </w:t>
      </w:r>
      <w:r w:rsidR="00B73648" w:rsidRPr="00B73648">
        <w:rPr>
          <w:lang w:val="en-US"/>
        </w:rPr>
        <w:t>Technical model details are published separately in a companion ACM paper</w:t>
      </w:r>
      <w:r w:rsidR="000376F6">
        <w:rPr>
          <w:lang w:val="en-US"/>
        </w:rPr>
        <w:t xml:space="preserve"> </w:t>
      </w:r>
      <w:r w:rsidR="000D6252">
        <w:rPr>
          <w:lang w:val="en-US"/>
        </w:rPr>
        <w:t>(El Ghabi et. Al.</w:t>
      </w:r>
      <w:r w:rsidR="00B73648" w:rsidRPr="00B73648">
        <w:rPr>
          <w:lang w:val="en-US"/>
        </w:rPr>
        <w:t>)</w:t>
      </w:r>
      <w:r w:rsidR="000D6252">
        <w:rPr>
          <w:lang w:val="en-US"/>
        </w:rPr>
        <w:t>.</w:t>
      </w:r>
    </w:p>
    <w:p w14:paraId="73B77A55" w14:textId="77777777" w:rsidR="00B73648" w:rsidRDefault="00B73648" w:rsidP="00344CBC">
      <w:pPr>
        <w:rPr>
          <w:b/>
          <w:bCs/>
          <w:caps/>
          <w:lang w:val="en-US"/>
        </w:rPr>
      </w:pPr>
    </w:p>
    <w:p w14:paraId="1B68BC4F" w14:textId="18AE505C" w:rsidR="00F966C2" w:rsidRPr="00E762F7" w:rsidRDefault="00F966C2" w:rsidP="00344CBC">
      <w:pPr>
        <w:pStyle w:val="Heading1"/>
        <w:rPr>
          <w:rFonts w:ascii="Times New Roman" w:hAnsi="Times New Roman"/>
          <w:szCs w:val="48"/>
          <w:lang w:val="en-US"/>
        </w:rPr>
      </w:pPr>
      <w:r w:rsidRPr="00E762F7">
        <w:rPr>
          <w:lang w:val="en-US"/>
        </w:rPr>
        <w:lastRenderedPageBreak/>
        <w:t>Conclusion</w:t>
      </w:r>
    </w:p>
    <w:p w14:paraId="4F0C377A" w14:textId="38078D30" w:rsidR="00C24872" w:rsidRDefault="00C24872" w:rsidP="00C24872">
      <w:pPr>
        <w:rPr>
          <w:lang w:val="en-US"/>
        </w:rPr>
      </w:pPr>
      <w:r w:rsidRPr="00C24872">
        <w:rPr>
          <w:lang w:val="en-US"/>
        </w:rPr>
        <w:t>This study demonstrates that GNN surrogates provide accurate, transferable, and efficient estimation of water levels in urban drainage networks, even under diverse and extreme rainfall scenarios. Their integration into digital-twin frameworks offers a promising direction for real-time monitoring, adaptive control, and resilient stormwater management.</w:t>
      </w:r>
      <w:r>
        <w:rPr>
          <w:lang w:val="en-US"/>
        </w:rPr>
        <w:t xml:space="preserve"> </w:t>
      </w:r>
      <w:r w:rsidRPr="00C24872">
        <w:rPr>
          <w:lang w:val="en-US"/>
        </w:rPr>
        <w:t>By explicitly evaluating performance across different flow scenarios, this work contributes new insight into where estimation uncertainty emerges and how it may influence operational planning, including decision support for source-control assets.</w:t>
      </w:r>
      <w:r>
        <w:rPr>
          <w:lang w:val="en-US"/>
        </w:rPr>
        <w:t xml:space="preserve"> </w:t>
      </w:r>
      <w:r w:rsidRPr="00C24872">
        <w:rPr>
          <w:lang w:val="en-US"/>
        </w:rPr>
        <w:t>As climate variability continues to challenge drainage system performance, such scalable AI-based estimation tools can support resilient transformation of both existing and future infrastructure.</w:t>
      </w:r>
    </w:p>
    <w:p w14:paraId="73C53DE8" w14:textId="323FA791" w:rsidR="00841DEF" w:rsidRPr="00C24872" w:rsidRDefault="00841DEF" w:rsidP="00C24872">
      <w:pPr>
        <w:pStyle w:val="Heading1"/>
        <w:rPr>
          <w:lang w:val="en-US"/>
        </w:rPr>
      </w:pPr>
      <w:r w:rsidRPr="00C24872">
        <w:rPr>
          <w:lang w:val="en-US"/>
        </w:rPr>
        <w:t>ACKNOWLEDGEMENTS</w:t>
      </w:r>
    </w:p>
    <w:p w14:paraId="5BDB5D46" w14:textId="04E817D3" w:rsidR="00C31BFD" w:rsidRPr="002B4847" w:rsidRDefault="00841DEF" w:rsidP="00841DEF">
      <w:pPr>
        <w:rPr>
          <w:lang w:val="en-US"/>
        </w:rPr>
      </w:pPr>
      <w:r w:rsidRPr="002B4847">
        <w:rPr>
          <w:lang w:val="en-US"/>
        </w:rPr>
        <w:t xml:space="preserve">Research funded by the Dutch Research Council NWO Merian Fund - Cooperation China (CAS) program, through the project </w:t>
      </w:r>
      <w:proofErr w:type="spellStart"/>
      <w:r w:rsidRPr="002B4847">
        <w:rPr>
          <w:lang w:val="en-US"/>
        </w:rPr>
        <w:t>DDTClean</w:t>
      </w:r>
      <w:proofErr w:type="spellEnd"/>
      <w:r w:rsidRPr="002B4847">
        <w:rPr>
          <w:lang w:val="en-US"/>
        </w:rPr>
        <w:t>: Intelligent Wastewater Treatment - Distributed Digital Twin for Clean Water (482.22.007).</w:t>
      </w:r>
    </w:p>
    <w:p w14:paraId="386FA569" w14:textId="75A63DA0" w:rsidR="00C31BFD" w:rsidRPr="00061D24" w:rsidRDefault="006A683B" w:rsidP="006A683B">
      <w:pPr>
        <w:pStyle w:val="Title"/>
        <w:rPr>
          <w:color w:val="auto"/>
          <w:lang w:val="en-GB"/>
        </w:rPr>
      </w:pPr>
      <w:r w:rsidRPr="00061D24">
        <w:rPr>
          <w:color w:val="auto"/>
          <w:lang w:val="en-GB"/>
        </w:rPr>
        <w:t>LIST OF REFERENCES</w:t>
      </w:r>
      <w:r w:rsidR="00D51BCE" w:rsidRPr="00061D24">
        <w:rPr>
          <w:color w:val="auto"/>
          <w:lang w:val="en-GB"/>
        </w:rPr>
        <w:t xml:space="preserve"> </w:t>
      </w:r>
    </w:p>
    <w:p w14:paraId="2E297B39" w14:textId="15BBA7AA" w:rsidR="00F71CA4" w:rsidRDefault="00F71CA4" w:rsidP="00F71CA4">
      <w:pPr>
        <w:ind w:left="284" w:hanging="284"/>
        <w:rPr>
          <w:rStyle w:val="IntenseReference"/>
          <w:rFonts w:cstheme="minorHAnsi"/>
          <w:lang w:val="en-US"/>
        </w:rPr>
      </w:pPr>
      <w:r w:rsidRPr="00F71CA4">
        <w:rPr>
          <w:rStyle w:val="IntenseReference"/>
          <w:rFonts w:cstheme="minorHAnsi"/>
          <w:lang w:val="en-US"/>
        </w:rPr>
        <w:t xml:space="preserve">Truong, </w:t>
      </w:r>
      <w:r>
        <w:rPr>
          <w:rStyle w:val="IntenseReference"/>
          <w:rFonts w:cstheme="minorHAnsi"/>
          <w:lang w:val="en-US"/>
        </w:rPr>
        <w:t xml:space="preserve">H., </w:t>
      </w:r>
      <w:r w:rsidRPr="00F71CA4">
        <w:rPr>
          <w:rStyle w:val="IntenseReference"/>
          <w:rFonts w:cstheme="minorHAnsi"/>
          <w:lang w:val="en-US"/>
        </w:rPr>
        <w:t xml:space="preserve">Tello, A. </w:t>
      </w:r>
      <w:r>
        <w:rPr>
          <w:rStyle w:val="IntenseReference"/>
          <w:rFonts w:cstheme="minorHAnsi"/>
          <w:lang w:val="en-US"/>
        </w:rPr>
        <w:t xml:space="preserve">, </w:t>
      </w:r>
      <w:r w:rsidRPr="00F71CA4">
        <w:rPr>
          <w:rStyle w:val="IntenseReference"/>
          <w:rFonts w:cstheme="minorHAnsi"/>
          <w:lang w:val="en-US"/>
        </w:rPr>
        <w:t xml:space="preserve">Lazovik, </w:t>
      </w:r>
      <w:r>
        <w:rPr>
          <w:rStyle w:val="IntenseReference"/>
          <w:rFonts w:cstheme="minorHAnsi"/>
          <w:lang w:val="en-US"/>
        </w:rPr>
        <w:t xml:space="preserve">A. </w:t>
      </w:r>
      <w:r w:rsidRPr="00F71CA4">
        <w:rPr>
          <w:rStyle w:val="IntenseReference"/>
          <w:rFonts w:cstheme="minorHAnsi"/>
          <w:lang w:val="en-US"/>
        </w:rPr>
        <w:t xml:space="preserve">and Degeler, </w:t>
      </w:r>
      <w:r>
        <w:rPr>
          <w:rStyle w:val="IntenseReference"/>
          <w:rFonts w:cstheme="minorHAnsi"/>
          <w:lang w:val="en-US"/>
        </w:rPr>
        <w:t>V. (</w:t>
      </w:r>
      <w:r w:rsidRPr="00F71CA4">
        <w:rPr>
          <w:rStyle w:val="IntenseReference"/>
          <w:rFonts w:cstheme="minorHAnsi"/>
          <w:lang w:val="en-US"/>
        </w:rPr>
        <w:t>2024</w:t>
      </w:r>
      <w:r>
        <w:rPr>
          <w:rStyle w:val="IntenseReference"/>
          <w:rFonts w:cstheme="minorHAnsi"/>
          <w:lang w:val="en-US"/>
        </w:rPr>
        <w:t xml:space="preserve">) </w:t>
      </w:r>
      <w:r w:rsidRPr="00F71CA4">
        <w:rPr>
          <w:rStyle w:val="IntenseReference"/>
          <w:rFonts w:cstheme="minorHAnsi"/>
          <w:i/>
          <w:iCs/>
          <w:lang w:val="en-US"/>
        </w:rPr>
        <w:t>Graph neural networks for pressure estimation in water distribution systems</w:t>
      </w:r>
      <w:r>
        <w:rPr>
          <w:rStyle w:val="IntenseReference"/>
          <w:rFonts w:cstheme="minorHAnsi"/>
          <w:lang w:val="en-US"/>
        </w:rPr>
        <w:t xml:space="preserve">. </w:t>
      </w:r>
      <w:r w:rsidRPr="00F71CA4">
        <w:rPr>
          <w:rStyle w:val="IntenseReference"/>
          <w:rFonts w:cstheme="minorHAnsi"/>
          <w:lang w:val="en-US"/>
        </w:rPr>
        <w:t>Water Resources</w:t>
      </w:r>
      <w:r>
        <w:rPr>
          <w:rStyle w:val="IntenseReference"/>
          <w:rFonts w:cstheme="minorHAnsi"/>
          <w:lang w:val="en-US"/>
        </w:rPr>
        <w:t xml:space="preserve"> </w:t>
      </w:r>
      <w:r w:rsidRPr="00F71CA4">
        <w:rPr>
          <w:rStyle w:val="IntenseReference"/>
          <w:rFonts w:cstheme="minorHAnsi"/>
          <w:lang w:val="en-US"/>
        </w:rPr>
        <w:t>Research, 60</w:t>
      </w:r>
      <w:r>
        <w:rPr>
          <w:rStyle w:val="IntenseReference"/>
          <w:rFonts w:cstheme="minorHAnsi"/>
          <w:lang w:val="en-US"/>
        </w:rPr>
        <w:t>(</w:t>
      </w:r>
      <w:r w:rsidRPr="00F71CA4">
        <w:rPr>
          <w:rStyle w:val="IntenseReference"/>
          <w:rFonts w:cstheme="minorHAnsi"/>
          <w:lang w:val="en-US"/>
        </w:rPr>
        <w:t>7</w:t>
      </w:r>
      <w:r>
        <w:rPr>
          <w:rStyle w:val="IntenseReference"/>
          <w:rFonts w:cstheme="minorHAnsi"/>
          <w:lang w:val="en-US"/>
        </w:rPr>
        <w:t>)</w:t>
      </w:r>
      <w:r w:rsidRPr="00F71CA4">
        <w:rPr>
          <w:rStyle w:val="IntenseReference"/>
          <w:rFonts w:cstheme="minorHAnsi"/>
          <w:lang w:val="en-US"/>
        </w:rPr>
        <w:t>.</w:t>
      </w:r>
    </w:p>
    <w:p w14:paraId="5B1BD1F0" w14:textId="574B23DF" w:rsidR="00B6717F" w:rsidRPr="00B6717F" w:rsidRDefault="00B6717F" w:rsidP="00B6717F">
      <w:pPr>
        <w:ind w:left="284" w:hanging="284"/>
        <w:rPr>
          <w:rStyle w:val="IntenseReference"/>
          <w:lang w:val="en-US"/>
        </w:rPr>
      </w:pPr>
      <w:r w:rsidRPr="00B6717F">
        <w:rPr>
          <w:rStyle w:val="IntenseReference"/>
          <w:lang w:val="en-US"/>
        </w:rPr>
        <w:t xml:space="preserve">Garzon, </w:t>
      </w:r>
      <w:r w:rsidR="002A54D8">
        <w:rPr>
          <w:rStyle w:val="IntenseReference"/>
          <w:lang w:val="en-US"/>
        </w:rPr>
        <w:t xml:space="preserve">A.,  </w:t>
      </w:r>
      <w:r w:rsidRPr="00B6717F">
        <w:rPr>
          <w:rStyle w:val="IntenseReference"/>
          <w:lang w:val="en-US"/>
        </w:rPr>
        <w:t xml:space="preserve">Kapelan, </w:t>
      </w:r>
      <w:r w:rsidR="002A54D8">
        <w:rPr>
          <w:rStyle w:val="IntenseReference"/>
          <w:lang w:val="en-US"/>
        </w:rPr>
        <w:t xml:space="preserve">Z., </w:t>
      </w:r>
      <w:r w:rsidRPr="00B6717F">
        <w:rPr>
          <w:rStyle w:val="IntenseReference"/>
          <w:lang w:val="en-US"/>
        </w:rPr>
        <w:t xml:space="preserve">Langeveld, </w:t>
      </w:r>
      <w:r w:rsidR="002A54D8">
        <w:rPr>
          <w:rStyle w:val="IntenseReference"/>
          <w:lang w:val="en-US"/>
        </w:rPr>
        <w:t xml:space="preserve">J. </w:t>
      </w:r>
      <w:r w:rsidRPr="00B6717F">
        <w:rPr>
          <w:rStyle w:val="IntenseReference"/>
          <w:lang w:val="en-US"/>
        </w:rPr>
        <w:t>and Taormina</w:t>
      </w:r>
      <w:r w:rsidR="002A54D8">
        <w:rPr>
          <w:rStyle w:val="IntenseReference"/>
          <w:lang w:val="en-US"/>
        </w:rPr>
        <w:t>, R. (2022)</w:t>
      </w:r>
      <w:r w:rsidRPr="00B6717F">
        <w:rPr>
          <w:rStyle w:val="IntenseReference"/>
          <w:lang w:val="en-US"/>
        </w:rPr>
        <w:t xml:space="preserve"> </w:t>
      </w:r>
      <w:r w:rsidRPr="00B6717F">
        <w:rPr>
          <w:rStyle w:val="IntenseReference"/>
          <w:i/>
          <w:iCs/>
          <w:lang w:val="en-US"/>
        </w:rPr>
        <w:t>Machine learning-based surrogate modeling for urban water networks: Review and future research directions</w:t>
      </w:r>
      <w:r>
        <w:rPr>
          <w:rStyle w:val="IntenseReference"/>
          <w:lang w:val="en-US"/>
        </w:rPr>
        <w:t>,</w:t>
      </w:r>
      <w:r w:rsidRPr="00B6717F">
        <w:rPr>
          <w:rStyle w:val="IntenseReference"/>
          <w:lang w:val="en-US"/>
        </w:rPr>
        <w:t xml:space="preserve"> Water Resources Research, 58</w:t>
      </w:r>
      <w:r>
        <w:rPr>
          <w:rStyle w:val="IntenseReference"/>
          <w:lang w:val="en-US"/>
        </w:rPr>
        <w:t>(</w:t>
      </w:r>
      <w:r w:rsidRPr="00B6717F">
        <w:rPr>
          <w:rStyle w:val="IntenseReference"/>
          <w:lang w:val="en-US"/>
        </w:rPr>
        <w:t>5</w:t>
      </w:r>
      <w:r>
        <w:rPr>
          <w:rStyle w:val="IntenseReference"/>
          <w:lang w:val="en-US"/>
        </w:rPr>
        <w:t>)</w:t>
      </w:r>
      <w:r w:rsidRPr="00B6717F">
        <w:rPr>
          <w:rStyle w:val="IntenseReference"/>
          <w:lang w:val="en-US"/>
        </w:rPr>
        <w:t>.</w:t>
      </w:r>
    </w:p>
    <w:p w14:paraId="3DECA3E6" w14:textId="19F80041" w:rsidR="00F91C97" w:rsidRDefault="00B6717F" w:rsidP="00B6717F">
      <w:pPr>
        <w:spacing w:before="60"/>
        <w:ind w:left="284" w:hanging="284"/>
        <w:rPr>
          <w:rStyle w:val="IntenseReference"/>
          <w:rFonts w:cstheme="minorHAnsi"/>
          <w:lang w:val="en-US"/>
        </w:rPr>
      </w:pPr>
      <w:r w:rsidRPr="00C8453C">
        <w:rPr>
          <w:rStyle w:val="IntenseReference"/>
          <w:rFonts w:cstheme="minorHAnsi"/>
          <w:lang w:val="nl-NL"/>
        </w:rPr>
        <w:t xml:space="preserve">El Ghabi, </w:t>
      </w:r>
      <w:r w:rsidR="00FA7D6E" w:rsidRPr="00C8453C">
        <w:rPr>
          <w:rStyle w:val="IntenseReference"/>
          <w:rFonts w:cstheme="minorHAnsi"/>
          <w:lang w:val="nl-NL"/>
        </w:rPr>
        <w:t xml:space="preserve">I., </w:t>
      </w:r>
      <w:r w:rsidRPr="00C8453C">
        <w:rPr>
          <w:rStyle w:val="IntenseReference"/>
          <w:rFonts w:cstheme="minorHAnsi"/>
          <w:lang w:val="nl-NL"/>
        </w:rPr>
        <w:t>Alief</w:t>
      </w:r>
      <w:r w:rsidR="00FA7D6E" w:rsidRPr="00C8453C">
        <w:rPr>
          <w:rStyle w:val="IntenseReference"/>
          <w:rFonts w:cstheme="minorHAnsi"/>
          <w:lang w:val="nl-NL"/>
        </w:rPr>
        <w:t>, R.</w:t>
      </w:r>
      <w:r w:rsidR="00E900C0" w:rsidRPr="00C8453C">
        <w:rPr>
          <w:rStyle w:val="IntenseReference"/>
          <w:rFonts w:cstheme="minorHAnsi"/>
          <w:lang w:val="nl-NL"/>
        </w:rPr>
        <w:t xml:space="preserve"> N.</w:t>
      </w:r>
      <w:r w:rsidR="00FA7D6E" w:rsidRPr="00C8453C">
        <w:rPr>
          <w:rStyle w:val="IntenseReference"/>
          <w:rFonts w:cstheme="minorHAnsi"/>
          <w:lang w:val="nl-NL"/>
        </w:rPr>
        <w:t xml:space="preserve">, </w:t>
      </w:r>
      <w:proofErr w:type="spellStart"/>
      <w:r w:rsidRPr="00C8453C">
        <w:rPr>
          <w:rStyle w:val="IntenseReference"/>
          <w:rFonts w:cstheme="minorHAnsi"/>
          <w:lang w:val="nl-NL"/>
        </w:rPr>
        <w:t>D</w:t>
      </w:r>
      <w:r w:rsidR="00FA7D6E" w:rsidRPr="00C8453C">
        <w:rPr>
          <w:rStyle w:val="IntenseReference"/>
          <w:rFonts w:ascii="Calibri" w:hAnsi="Calibri" w:cs="Calibri"/>
          <w:lang w:val="nl-NL"/>
        </w:rPr>
        <w:t>üştegö</w:t>
      </w:r>
      <w:r w:rsidRPr="00C8453C">
        <w:rPr>
          <w:rStyle w:val="IntenseReference"/>
          <w:rFonts w:cstheme="minorHAnsi"/>
          <w:lang w:val="nl-NL"/>
        </w:rPr>
        <w:t>r</w:t>
      </w:r>
      <w:proofErr w:type="spellEnd"/>
      <w:r w:rsidRPr="00C8453C">
        <w:rPr>
          <w:rStyle w:val="IntenseReference"/>
          <w:rFonts w:cstheme="minorHAnsi"/>
          <w:lang w:val="nl-NL"/>
        </w:rPr>
        <w:t xml:space="preserve">, </w:t>
      </w:r>
      <w:r w:rsidR="00FA7D6E" w:rsidRPr="00C8453C">
        <w:rPr>
          <w:rStyle w:val="IntenseReference"/>
          <w:rFonts w:cstheme="minorHAnsi"/>
          <w:lang w:val="nl-NL"/>
        </w:rPr>
        <w:t xml:space="preserve">D., </w:t>
      </w:r>
      <w:r w:rsidRPr="00C8453C">
        <w:rPr>
          <w:rStyle w:val="IntenseReference"/>
          <w:rFonts w:cstheme="minorHAnsi"/>
          <w:lang w:val="nl-NL"/>
        </w:rPr>
        <w:t>Henckens</w:t>
      </w:r>
      <w:r w:rsidR="00FA7D6E" w:rsidRPr="00C8453C">
        <w:rPr>
          <w:rStyle w:val="IntenseReference"/>
          <w:rFonts w:ascii="Calibri" w:hAnsi="Calibri" w:cs="Calibri"/>
          <w:lang w:val="nl-NL"/>
        </w:rPr>
        <w:t>, G.</w:t>
      </w:r>
      <w:r w:rsidRPr="00C8453C">
        <w:rPr>
          <w:rStyle w:val="IntenseReference"/>
          <w:rFonts w:cstheme="minorHAnsi"/>
          <w:lang w:val="nl-NL"/>
        </w:rPr>
        <w:t>, Lazovik,</w:t>
      </w:r>
      <w:r w:rsidR="00FA7D6E" w:rsidRPr="00C8453C">
        <w:rPr>
          <w:rStyle w:val="IntenseReference"/>
          <w:rFonts w:cstheme="minorHAnsi"/>
          <w:lang w:val="nl-NL"/>
        </w:rPr>
        <w:t xml:space="preserve"> A., </w:t>
      </w:r>
      <w:r w:rsidRPr="00C8453C">
        <w:rPr>
          <w:rStyle w:val="IntenseReference"/>
          <w:rFonts w:cstheme="minorHAnsi"/>
          <w:lang w:val="nl-NL"/>
        </w:rPr>
        <w:t>Degeler</w:t>
      </w:r>
      <w:r w:rsidR="00FA7D6E" w:rsidRPr="00C8453C">
        <w:rPr>
          <w:rStyle w:val="IntenseReference"/>
          <w:rFonts w:cstheme="minorHAnsi"/>
          <w:lang w:val="nl-NL"/>
        </w:rPr>
        <w:t>, V.</w:t>
      </w:r>
      <w:r w:rsidR="002A54D8" w:rsidRPr="00C8453C">
        <w:rPr>
          <w:rStyle w:val="IntenseReference"/>
          <w:rFonts w:cstheme="minorHAnsi"/>
          <w:lang w:val="nl-NL"/>
        </w:rPr>
        <w:t xml:space="preserve"> (2026).</w:t>
      </w:r>
      <w:r w:rsidRPr="00C8453C">
        <w:rPr>
          <w:rStyle w:val="IntenseReference"/>
          <w:rFonts w:cstheme="minorHAnsi"/>
          <w:lang w:val="nl-NL"/>
        </w:rPr>
        <w:t xml:space="preserve"> </w:t>
      </w:r>
      <w:r w:rsidR="002A54D8" w:rsidRPr="002A54D8">
        <w:rPr>
          <w:rStyle w:val="IntenseReference"/>
          <w:rFonts w:cstheme="minorHAnsi"/>
          <w:i/>
          <w:iCs/>
          <w:lang w:val="en-US"/>
        </w:rPr>
        <w:t xml:space="preserve">GNN-Based State Estimation for Urban Wastewater Digital Twins, </w:t>
      </w:r>
      <w:r w:rsidRPr="002A54D8">
        <w:rPr>
          <w:rStyle w:val="IntenseReference"/>
          <w:rFonts w:cstheme="minorHAnsi"/>
          <w:lang w:val="en-US"/>
        </w:rPr>
        <w:t xml:space="preserve">41st ACM/SIGAPP Symposium </w:t>
      </w:r>
      <w:r w:rsidR="002A54D8" w:rsidRPr="002A54D8">
        <w:rPr>
          <w:rStyle w:val="IntenseReference"/>
          <w:rFonts w:cstheme="minorHAnsi"/>
          <w:lang w:val="en-US"/>
        </w:rPr>
        <w:t>o</w:t>
      </w:r>
      <w:r w:rsidRPr="002A54D8">
        <w:rPr>
          <w:rStyle w:val="IntenseReference"/>
          <w:rFonts w:cstheme="minorHAnsi"/>
          <w:lang w:val="en-US"/>
        </w:rPr>
        <w:t>n Applied Computing</w:t>
      </w:r>
      <w:r w:rsidR="002A54D8" w:rsidRPr="002A54D8">
        <w:rPr>
          <w:rStyle w:val="IntenseReference"/>
          <w:rFonts w:cstheme="minorHAnsi"/>
          <w:lang w:val="en-US"/>
        </w:rPr>
        <w:t>.</w:t>
      </w:r>
    </w:p>
    <w:p w14:paraId="5A2E8B50" w14:textId="03607AE7" w:rsidR="00775578" w:rsidRPr="002B4847" w:rsidRDefault="00775578" w:rsidP="00775578">
      <w:pPr>
        <w:spacing w:before="60"/>
        <w:ind w:left="284" w:hanging="284"/>
        <w:rPr>
          <w:rStyle w:val="IntenseReference"/>
          <w:rFonts w:cstheme="minorHAnsi"/>
          <w:lang w:val="en-US"/>
        </w:rPr>
      </w:pPr>
      <w:r w:rsidRPr="00775578">
        <w:rPr>
          <w:rStyle w:val="IntenseReference"/>
          <w:rFonts w:cstheme="minorHAnsi"/>
          <w:lang w:val="en-US"/>
        </w:rPr>
        <w:t xml:space="preserve">RIONED. [Online]. </w:t>
      </w:r>
      <w:r w:rsidRPr="002B4847">
        <w:rPr>
          <w:rStyle w:val="IntenseReference"/>
          <w:rFonts w:cstheme="minorHAnsi"/>
          <w:lang w:val="en-US"/>
        </w:rPr>
        <w:t>Available: https://www.riool.net/kennisbank/onderzoek/modelleren-hydraulisch-functioneren/stap-iv-hydraulische-belasting-bepalen/hemelwaterafvoer-hwa/ontwerpbuien-met-statistische-herhalingstijd/bui01-bui10</w:t>
      </w:r>
    </w:p>
    <w:sectPr w:rsidR="00775578" w:rsidRPr="002B4847" w:rsidSect="001843A3">
      <w:headerReference w:type="even" r:id="rId8"/>
      <w:headerReference w:type="default" r:id="rId9"/>
      <w:footerReference w:type="even" r:id="rId10"/>
      <w:footerReference w:type="default" r:id="rId11"/>
      <w:type w:val="continuous"/>
      <w:pgSz w:w="11906" w:h="16838" w:code="9"/>
      <w:pgMar w:top="1417" w:right="1417" w:bottom="1417" w:left="1417" w:header="850" w:footer="850" w:gutter="0"/>
      <w:paperSrc w:firs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EB452" w14:textId="77777777" w:rsidR="001B7528" w:rsidRDefault="001B7528" w:rsidP="005667E5">
      <w:r>
        <w:separator/>
      </w:r>
    </w:p>
    <w:p w14:paraId="3B486DB4" w14:textId="77777777" w:rsidR="001B7528" w:rsidRDefault="001B7528"/>
  </w:endnote>
  <w:endnote w:type="continuationSeparator" w:id="0">
    <w:p w14:paraId="38DCC91E" w14:textId="77777777" w:rsidR="001B7528" w:rsidRDefault="001B7528" w:rsidP="005667E5">
      <w:r>
        <w:continuationSeparator/>
      </w:r>
    </w:p>
    <w:p w14:paraId="091C4397" w14:textId="77777777" w:rsidR="001B7528" w:rsidRDefault="001B75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B30E8" w14:textId="77777777" w:rsidR="00370415" w:rsidRPr="00E04432" w:rsidRDefault="00370415" w:rsidP="00786072">
    <w:pPr>
      <w:pBdr>
        <w:top w:val="single" w:sz="4" w:space="1" w:color="auto"/>
      </w:pBdr>
      <w:jc w:val="left"/>
      <w:rPr>
        <w:sz w:val="16"/>
      </w:rPr>
    </w:pPr>
    <w:r w:rsidRPr="00E04432">
      <w:rPr>
        <w:sz w:val="16"/>
      </w:rPr>
      <w:fldChar w:fldCharType="begin"/>
    </w:r>
    <w:r w:rsidRPr="00E04432">
      <w:rPr>
        <w:sz w:val="16"/>
      </w:rPr>
      <w:instrText xml:space="preserve"> PAGE </w:instrText>
    </w:r>
    <w:r w:rsidRPr="00E04432">
      <w:rPr>
        <w:sz w:val="16"/>
      </w:rPr>
      <w:fldChar w:fldCharType="separate"/>
    </w:r>
    <w:r w:rsidR="000A7243">
      <w:rPr>
        <w:noProof/>
        <w:sz w:val="16"/>
      </w:rPr>
      <w:t>2</w:t>
    </w:r>
    <w:r w:rsidRPr="00E04432">
      <w:rPr>
        <w:sz w:val="16"/>
      </w:rPr>
      <w:fldChar w:fldCharType="end"/>
    </w:r>
  </w:p>
  <w:p w14:paraId="548FF937" w14:textId="77777777" w:rsidR="007C5057" w:rsidRDefault="007C505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01EB9" w14:textId="77777777" w:rsidR="00370415" w:rsidRPr="00E04432" w:rsidRDefault="00370415" w:rsidP="007073B8">
    <w:pPr>
      <w:pBdr>
        <w:top w:val="single" w:sz="4" w:space="1" w:color="auto"/>
      </w:pBdr>
      <w:jc w:val="right"/>
      <w:rPr>
        <w:sz w:val="16"/>
      </w:rPr>
    </w:pPr>
    <w:r w:rsidRPr="00E04432">
      <w:rPr>
        <w:sz w:val="16"/>
      </w:rPr>
      <w:fldChar w:fldCharType="begin"/>
    </w:r>
    <w:r w:rsidRPr="00E04432">
      <w:rPr>
        <w:sz w:val="16"/>
      </w:rPr>
      <w:instrText xml:space="preserve"> PAGE </w:instrText>
    </w:r>
    <w:r w:rsidRPr="00E04432">
      <w:rPr>
        <w:sz w:val="16"/>
      </w:rPr>
      <w:fldChar w:fldCharType="separate"/>
    </w:r>
    <w:r w:rsidR="000A7243">
      <w:rPr>
        <w:noProof/>
        <w:sz w:val="16"/>
      </w:rPr>
      <w:t>1</w:t>
    </w:r>
    <w:r w:rsidRPr="00E04432">
      <w:rPr>
        <w:sz w:val="16"/>
      </w:rPr>
      <w:fldChar w:fldCharType="end"/>
    </w:r>
  </w:p>
  <w:p w14:paraId="076751A3" w14:textId="77777777" w:rsidR="007C5057" w:rsidRDefault="007C505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871C2" w14:textId="77777777" w:rsidR="001B7528" w:rsidRDefault="001B7528" w:rsidP="005667E5">
      <w:r>
        <w:separator/>
      </w:r>
    </w:p>
    <w:p w14:paraId="077116B1" w14:textId="77777777" w:rsidR="001B7528" w:rsidRDefault="001B7528"/>
  </w:footnote>
  <w:footnote w:type="continuationSeparator" w:id="0">
    <w:p w14:paraId="09DA3F9D" w14:textId="77777777" w:rsidR="001B7528" w:rsidRDefault="001B7528" w:rsidP="005667E5">
      <w:r>
        <w:continuationSeparator/>
      </w:r>
    </w:p>
    <w:p w14:paraId="14C731AB" w14:textId="77777777" w:rsidR="001B7528" w:rsidRDefault="001B75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E1621" w14:textId="77777777" w:rsidR="00370415" w:rsidRPr="0019193B" w:rsidRDefault="00370415" w:rsidP="005D6F11">
    <w:pPr>
      <w:pStyle w:val="en-tte"/>
      <w:ind w:left="0" w:firstLine="0"/>
      <w:jc w:val="left"/>
    </w:pPr>
  </w:p>
  <w:p w14:paraId="68D3A87B" w14:textId="77777777" w:rsidR="007C5057" w:rsidRDefault="007C505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576FC" w14:textId="0AE7F88F" w:rsidR="00370415" w:rsidRPr="009D500F" w:rsidRDefault="009D500F" w:rsidP="009D500F">
    <w:pPr>
      <w:pStyle w:val="Header"/>
      <w:pBdr>
        <w:bottom w:val="single" w:sz="4" w:space="1" w:color="auto"/>
      </w:pBdr>
      <w:jc w:val="center"/>
      <w:rPr>
        <w:rFonts w:cstheme="minorHAnsi"/>
        <w:b/>
        <w:color w:val="00708E"/>
        <w:sz w:val="20"/>
      </w:rPr>
    </w:pPr>
    <w:r w:rsidRPr="009D500F">
      <w:rPr>
        <w:rFonts w:cstheme="minorHAnsi"/>
        <w:b/>
        <w:color w:val="00708E"/>
        <w:sz w:val="20"/>
      </w:rPr>
      <w:t>NOVATECH 202</w:t>
    </w:r>
    <w:r w:rsidR="00061D24">
      <w:rPr>
        <w:rFonts w:cstheme="minorHAnsi"/>
        <w:b/>
        <w:color w:val="00708E"/>
        <w:sz w:val="20"/>
      </w:rPr>
      <w:t>6</w:t>
    </w:r>
  </w:p>
  <w:p w14:paraId="66126282" w14:textId="77777777" w:rsidR="007C5057" w:rsidRDefault="007C50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E580F"/>
    <w:multiLevelType w:val="multilevel"/>
    <w:tmpl w:val="E6FE59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876AE0"/>
    <w:multiLevelType w:val="multilevel"/>
    <w:tmpl w:val="C59A3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0E1844"/>
    <w:multiLevelType w:val="multilevel"/>
    <w:tmpl w:val="25D48DB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28F331F4"/>
    <w:multiLevelType w:val="hybridMultilevel"/>
    <w:tmpl w:val="112C31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0CB67CA"/>
    <w:multiLevelType w:val="multilevel"/>
    <w:tmpl w:val="1D84C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756730"/>
    <w:multiLevelType w:val="multilevel"/>
    <w:tmpl w:val="7474E56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4FC74BC1"/>
    <w:multiLevelType w:val="hybridMultilevel"/>
    <w:tmpl w:val="7284A722"/>
    <w:lvl w:ilvl="0" w:tplc="5058AD74">
      <w:start w:val="1"/>
      <w:numFmt w:val="bullet"/>
      <w:pStyle w:val="Normaltir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550D26D4"/>
    <w:multiLevelType w:val="multilevel"/>
    <w:tmpl w:val="BDF04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BFA4DD0"/>
    <w:multiLevelType w:val="hybridMultilevel"/>
    <w:tmpl w:val="D310A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E6E5B"/>
    <w:multiLevelType w:val="multilevel"/>
    <w:tmpl w:val="D2CA1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4E34DD"/>
    <w:multiLevelType w:val="multilevel"/>
    <w:tmpl w:val="6C16E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54B00CB"/>
    <w:multiLevelType w:val="hybridMultilevel"/>
    <w:tmpl w:val="202CAA10"/>
    <w:lvl w:ilvl="0" w:tplc="06F0A7B8">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436E84"/>
    <w:multiLevelType w:val="hybridMultilevel"/>
    <w:tmpl w:val="FEB2A676"/>
    <w:lvl w:ilvl="0" w:tplc="45FE9670">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num w:numId="1">
    <w:abstractNumId w:val="5"/>
  </w:num>
  <w:num w:numId="2">
    <w:abstractNumId w:val="2"/>
  </w:num>
  <w:num w:numId="3">
    <w:abstractNumId w:val="12"/>
  </w:num>
  <w:num w:numId="4">
    <w:abstractNumId w:val="6"/>
  </w:num>
  <w:num w:numId="5">
    <w:abstractNumId w:val="11"/>
  </w:num>
  <w:num w:numId="6">
    <w:abstractNumId w:val="0"/>
  </w:num>
  <w:num w:numId="7">
    <w:abstractNumId w:val="9"/>
  </w:num>
  <w:num w:numId="8">
    <w:abstractNumId w:val="8"/>
  </w:num>
  <w:num w:numId="9">
    <w:abstractNumId w:val="1"/>
  </w:num>
  <w:num w:numId="10">
    <w:abstractNumId w:val="10"/>
  </w:num>
  <w:num w:numId="11">
    <w:abstractNumId w:val="4"/>
  </w:num>
  <w:num w:numId="12">
    <w:abstractNumId w:val="7"/>
  </w:num>
  <w:num w:numId="13">
    <w:abstractNumId w:val="5"/>
  </w:num>
  <w:num w:numId="14">
    <w:abstractNumId w:val="3"/>
  </w:num>
  <w:num w:numId="15">
    <w:abstractNumId w:val="5"/>
  </w:num>
  <w:num w:numId="16">
    <w:abstractNumId w:val="5"/>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stylePaneSortMethod w:val="0000"/>
  <w:defaultTabStop w:val="708"/>
  <w:hyphenationZone w:val="425"/>
  <w:evenAndOddHeaders/>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BFD"/>
    <w:rsid w:val="000066A0"/>
    <w:rsid w:val="00006AED"/>
    <w:rsid w:val="00023D54"/>
    <w:rsid w:val="000376F6"/>
    <w:rsid w:val="00061D24"/>
    <w:rsid w:val="0008016D"/>
    <w:rsid w:val="000A7243"/>
    <w:rsid w:val="000B548D"/>
    <w:rsid w:val="000C4446"/>
    <w:rsid w:val="000C49AF"/>
    <w:rsid w:val="000D6252"/>
    <w:rsid w:val="00121C0E"/>
    <w:rsid w:val="00183221"/>
    <w:rsid w:val="00183BB7"/>
    <w:rsid w:val="001843A3"/>
    <w:rsid w:val="0019193B"/>
    <w:rsid w:val="001B7528"/>
    <w:rsid w:val="001B7C8C"/>
    <w:rsid w:val="002070AA"/>
    <w:rsid w:val="00251447"/>
    <w:rsid w:val="00273B25"/>
    <w:rsid w:val="002A54D8"/>
    <w:rsid w:val="002B4847"/>
    <w:rsid w:val="002E0E07"/>
    <w:rsid w:val="002F6454"/>
    <w:rsid w:val="00316FC0"/>
    <w:rsid w:val="00326D40"/>
    <w:rsid w:val="00344CBC"/>
    <w:rsid w:val="003569E0"/>
    <w:rsid w:val="00366A33"/>
    <w:rsid w:val="00370415"/>
    <w:rsid w:val="00386C6E"/>
    <w:rsid w:val="00397B39"/>
    <w:rsid w:val="003B43B7"/>
    <w:rsid w:val="003D214C"/>
    <w:rsid w:val="003E33A4"/>
    <w:rsid w:val="00406F9D"/>
    <w:rsid w:val="00417639"/>
    <w:rsid w:val="00422D91"/>
    <w:rsid w:val="004415EB"/>
    <w:rsid w:val="00443636"/>
    <w:rsid w:val="00453BFC"/>
    <w:rsid w:val="0046362F"/>
    <w:rsid w:val="004B290B"/>
    <w:rsid w:val="004E25C2"/>
    <w:rsid w:val="004E6436"/>
    <w:rsid w:val="00534358"/>
    <w:rsid w:val="00544E67"/>
    <w:rsid w:val="00547F41"/>
    <w:rsid w:val="005663F1"/>
    <w:rsid w:val="005667E5"/>
    <w:rsid w:val="0056699D"/>
    <w:rsid w:val="005752AA"/>
    <w:rsid w:val="005A17EC"/>
    <w:rsid w:val="005A6353"/>
    <w:rsid w:val="005D0014"/>
    <w:rsid w:val="005D6F11"/>
    <w:rsid w:val="00616270"/>
    <w:rsid w:val="006278A1"/>
    <w:rsid w:val="00647EFF"/>
    <w:rsid w:val="006715DA"/>
    <w:rsid w:val="00675070"/>
    <w:rsid w:val="0069170D"/>
    <w:rsid w:val="006A683B"/>
    <w:rsid w:val="006D7975"/>
    <w:rsid w:val="00700E48"/>
    <w:rsid w:val="007073B8"/>
    <w:rsid w:val="007328B6"/>
    <w:rsid w:val="00735EBE"/>
    <w:rsid w:val="00737F5E"/>
    <w:rsid w:val="007460AE"/>
    <w:rsid w:val="007513E2"/>
    <w:rsid w:val="00760FE2"/>
    <w:rsid w:val="00775578"/>
    <w:rsid w:val="0078035A"/>
    <w:rsid w:val="00786072"/>
    <w:rsid w:val="0079199C"/>
    <w:rsid w:val="007B7EBB"/>
    <w:rsid w:val="007C5057"/>
    <w:rsid w:val="0080091A"/>
    <w:rsid w:val="00802D46"/>
    <w:rsid w:val="00810944"/>
    <w:rsid w:val="00841DEF"/>
    <w:rsid w:val="00872B7D"/>
    <w:rsid w:val="00883827"/>
    <w:rsid w:val="008839C5"/>
    <w:rsid w:val="00885554"/>
    <w:rsid w:val="008A0D17"/>
    <w:rsid w:val="008B770D"/>
    <w:rsid w:val="008C6D20"/>
    <w:rsid w:val="008E1787"/>
    <w:rsid w:val="008F6DCC"/>
    <w:rsid w:val="0093336A"/>
    <w:rsid w:val="009619F0"/>
    <w:rsid w:val="009D500F"/>
    <w:rsid w:val="009E6576"/>
    <w:rsid w:val="009F3E62"/>
    <w:rsid w:val="00A055BB"/>
    <w:rsid w:val="00A05F03"/>
    <w:rsid w:val="00A56E35"/>
    <w:rsid w:val="00A605BF"/>
    <w:rsid w:val="00A62561"/>
    <w:rsid w:val="00A81CD8"/>
    <w:rsid w:val="00A9340B"/>
    <w:rsid w:val="00AA1C3A"/>
    <w:rsid w:val="00AD0349"/>
    <w:rsid w:val="00AF04B5"/>
    <w:rsid w:val="00B021C7"/>
    <w:rsid w:val="00B266A6"/>
    <w:rsid w:val="00B454E9"/>
    <w:rsid w:val="00B6717F"/>
    <w:rsid w:val="00B73648"/>
    <w:rsid w:val="00B76FD1"/>
    <w:rsid w:val="00B935D5"/>
    <w:rsid w:val="00BA135E"/>
    <w:rsid w:val="00BB1267"/>
    <w:rsid w:val="00C0789A"/>
    <w:rsid w:val="00C10FB4"/>
    <w:rsid w:val="00C11EFC"/>
    <w:rsid w:val="00C11F79"/>
    <w:rsid w:val="00C24872"/>
    <w:rsid w:val="00C2487F"/>
    <w:rsid w:val="00C26503"/>
    <w:rsid w:val="00C31BFD"/>
    <w:rsid w:val="00C636C8"/>
    <w:rsid w:val="00C6799F"/>
    <w:rsid w:val="00C71C8B"/>
    <w:rsid w:val="00C8453C"/>
    <w:rsid w:val="00C90267"/>
    <w:rsid w:val="00CA1E44"/>
    <w:rsid w:val="00D13121"/>
    <w:rsid w:val="00D441EB"/>
    <w:rsid w:val="00D51BCE"/>
    <w:rsid w:val="00D70620"/>
    <w:rsid w:val="00D77F96"/>
    <w:rsid w:val="00D90F71"/>
    <w:rsid w:val="00DA7D7D"/>
    <w:rsid w:val="00DC4FD1"/>
    <w:rsid w:val="00DE20F1"/>
    <w:rsid w:val="00DE549A"/>
    <w:rsid w:val="00DF3DCE"/>
    <w:rsid w:val="00E04432"/>
    <w:rsid w:val="00E615B3"/>
    <w:rsid w:val="00E61642"/>
    <w:rsid w:val="00E762F7"/>
    <w:rsid w:val="00E900C0"/>
    <w:rsid w:val="00EA64D5"/>
    <w:rsid w:val="00EE5DF7"/>
    <w:rsid w:val="00EF70C3"/>
    <w:rsid w:val="00F1470E"/>
    <w:rsid w:val="00F71CA4"/>
    <w:rsid w:val="00F747BF"/>
    <w:rsid w:val="00F91C97"/>
    <w:rsid w:val="00F966C2"/>
    <w:rsid w:val="00FA7D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877167"/>
  <w15:chartTrackingRefBased/>
  <w15:docId w15:val="{591F2A98-C2B3-41C4-9C12-90ED73B56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D24"/>
    <w:pPr>
      <w:widowControl w:val="0"/>
      <w:spacing w:before="120"/>
      <w:jc w:val="both"/>
    </w:pPr>
    <w:rPr>
      <w:rFonts w:asciiTheme="minorHAnsi" w:hAnsiTheme="minorHAnsi"/>
      <w:szCs w:val="24"/>
    </w:rPr>
  </w:style>
  <w:style w:type="paragraph" w:styleId="Heading1">
    <w:name w:val="heading 1"/>
    <w:basedOn w:val="Normal"/>
    <w:next w:val="Normal"/>
    <w:qFormat/>
    <w:rsid w:val="009D500F"/>
    <w:pPr>
      <w:keepNext/>
      <w:numPr>
        <w:numId w:val="1"/>
      </w:numPr>
      <w:spacing w:before="200"/>
      <w:outlineLvl w:val="0"/>
    </w:pPr>
    <w:rPr>
      <w:rFonts w:cstheme="minorHAnsi"/>
      <w:b/>
      <w:bCs/>
      <w:caps/>
      <w:color w:val="00708E"/>
      <w:sz w:val="24"/>
    </w:rPr>
  </w:style>
  <w:style w:type="paragraph" w:styleId="Heading2">
    <w:name w:val="heading 2"/>
    <w:basedOn w:val="Normal"/>
    <w:next w:val="Normal"/>
    <w:qFormat/>
    <w:rsid w:val="009D500F"/>
    <w:pPr>
      <w:keepNext/>
      <w:numPr>
        <w:ilvl w:val="1"/>
        <w:numId w:val="1"/>
      </w:numPr>
      <w:outlineLvl w:val="1"/>
    </w:pPr>
    <w:rPr>
      <w:rFonts w:cstheme="minorHAnsi"/>
      <w:b/>
      <w:bCs/>
      <w:color w:val="00B6CF"/>
      <w:sz w:val="24"/>
      <w:szCs w:val="28"/>
    </w:rPr>
  </w:style>
  <w:style w:type="paragraph" w:styleId="Heading3">
    <w:name w:val="heading 3"/>
    <w:basedOn w:val="Normal"/>
    <w:next w:val="Normal"/>
    <w:qFormat/>
    <w:rsid w:val="009D500F"/>
    <w:pPr>
      <w:keepNext/>
      <w:numPr>
        <w:ilvl w:val="2"/>
        <w:numId w:val="1"/>
      </w:numPr>
      <w:outlineLvl w:val="2"/>
    </w:pPr>
    <w:rPr>
      <w:rFonts w:cstheme="minorHAnsi"/>
      <w:b/>
      <w:bCs/>
      <w:i/>
      <w:color w:val="CF007F"/>
      <w:szCs w:val="26"/>
    </w:rPr>
  </w:style>
  <w:style w:type="paragraph" w:styleId="Heading4">
    <w:name w:val="heading 4"/>
    <w:basedOn w:val="Normal"/>
    <w:next w:val="Normal"/>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pPr>
      <w:numPr>
        <w:ilvl w:val="4"/>
        <w:numId w:val="1"/>
      </w:numPr>
      <w:spacing w:before="240" w:after="60"/>
      <w:outlineLvl w:val="4"/>
    </w:pPr>
    <w:rPr>
      <w:b/>
      <w:bCs/>
      <w:i/>
      <w:iCs/>
      <w:sz w:val="26"/>
      <w:szCs w:val="26"/>
    </w:rPr>
  </w:style>
  <w:style w:type="paragraph" w:styleId="Heading6">
    <w:name w:val="heading 6"/>
    <w:basedOn w:val="Normal"/>
    <w:next w:val="Normal"/>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pPr>
      <w:numPr>
        <w:ilvl w:val="6"/>
        <w:numId w:val="1"/>
      </w:numPr>
      <w:spacing w:before="240" w:after="60"/>
      <w:outlineLvl w:val="6"/>
    </w:pPr>
    <w:rPr>
      <w:rFonts w:ascii="Times New Roman" w:hAnsi="Times New Roman"/>
      <w:sz w:val="24"/>
    </w:rPr>
  </w:style>
  <w:style w:type="paragraph" w:styleId="Heading8">
    <w:name w:val="heading 8"/>
    <w:basedOn w:val="Normal"/>
    <w:next w:val="Normal"/>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406F9D"/>
    <w:pPr>
      <w:pBdr>
        <w:bottom w:val="single" w:sz="2" w:space="1" w:color="auto"/>
      </w:pBdr>
      <w:tabs>
        <w:tab w:val="center" w:pos="4536"/>
        <w:tab w:val="right" w:pos="9072"/>
      </w:tabs>
      <w:jc w:val="right"/>
    </w:pPr>
    <w:rPr>
      <w:sz w:val="16"/>
    </w:rPr>
  </w:style>
  <w:style w:type="paragraph" w:customStyle="1" w:styleId="0TitleTitre">
    <w:name w:val="0Title Titre"/>
    <w:basedOn w:val="Normal"/>
    <w:qFormat/>
    <w:rsid w:val="009D500F"/>
    <w:pPr>
      <w:ind w:left="1418" w:right="567"/>
      <w:jc w:val="left"/>
    </w:pPr>
    <w:rPr>
      <w:rFonts w:cstheme="minorHAnsi"/>
      <w:b/>
      <w:bCs/>
      <w:color w:val="00708E"/>
      <w:sz w:val="28"/>
    </w:rPr>
  </w:style>
  <w:style w:type="paragraph" w:customStyle="1" w:styleId="1Translation">
    <w:name w:val="1Translation"/>
    <w:basedOn w:val="Normal"/>
    <w:qFormat/>
    <w:rsid w:val="009D500F"/>
    <w:pPr>
      <w:ind w:left="1418" w:right="567"/>
      <w:jc w:val="left"/>
    </w:pPr>
    <w:rPr>
      <w:rFonts w:cstheme="minorHAnsi"/>
      <w:color w:val="00B6CF"/>
      <w:sz w:val="28"/>
      <w:lang w:val="en-GB"/>
    </w:rPr>
  </w:style>
  <w:style w:type="paragraph" w:customStyle="1" w:styleId="Legendes">
    <w:name w:val="Legendes"/>
    <w:basedOn w:val="Normal"/>
    <w:qFormat/>
    <w:rsid w:val="005667E5"/>
    <w:pPr>
      <w:jc w:val="center"/>
    </w:pPr>
    <w:rPr>
      <w:rFonts w:cs="Arial"/>
      <w:sz w:val="18"/>
    </w:rPr>
  </w:style>
  <w:style w:type="paragraph" w:customStyle="1" w:styleId="3names">
    <w:name w:val="3names"/>
    <w:basedOn w:val="1Translation"/>
    <w:qFormat/>
    <w:rsid w:val="009D500F"/>
    <w:rPr>
      <w:color w:val="CF007F"/>
      <w:sz w:val="24"/>
    </w:rPr>
  </w:style>
  <w:style w:type="character" w:styleId="Emphasis">
    <w:name w:val="Emphasis"/>
    <w:uiPriority w:val="20"/>
    <w:rsid w:val="00DE20F1"/>
    <w:rPr>
      <w:i/>
      <w:iCs/>
    </w:rPr>
  </w:style>
  <w:style w:type="paragraph" w:customStyle="1" w:styleId="Normaltiret">
    <w:name w:val="Normaltiret"/>
    <w:basedOn w:val="Normal"/>
    <w:qFormat/>
    <w:rsid w:val="009D500F"/>
    <w:pPr>
      <w:numPr>
        <w:numId w:val="4"/>
      </w:numPr>
    </w:pPr>
    <w:rPr>
      <w:rFonts w:cstheme="minorHAnsi"/>
    </w:rPr>
  </w:style>
  <w:style w:type="paragraph" w:customStyle="1" w:styleId="Biblio">
    <w:name w:val="Biblio"/>
    <w:basedOn w:val="Normal"/>
    <w:pPr>
      <w:spacing w:before="0"/>
      <w:ind w:left="284" w:hanging="284"/>
    </w:pPr>
    <w:rPr>
      <w:sz w:val="15"/>
      <w:lang w:val="en-GB"/>
    </w:rPr>
  </w:style>
  <w:style w:type="paragraph" w:styleId="Footer">
    <w:name w:val="footer"/>
    <w:basedOn w:val="Normal"/>
    <w:semiHidden/>
    <w:pPr>
      <w:tabs>
        <w:tab w:val="center" w:pos="4536"/>
        <w:tab w:val="right" w:pos="9072"/>
      </w:tabs>
    </w:pPr>
  </w:style>
  <w:style w:type="paragraph" w:styleId="Title">
    <w:name w:val="Title"/>
    <w:basedOn w:val="0TitleTitre"/>
    <w:next w:val="Normal"/>
    <w:link w:val="TitleChar"/>
    <w:uiPriority w:val="10"/>
    <w:qFormat/>
    <w:rsid w:val="008839C5"/>
    <w:pPr>
      <w:ind w:left="0"/>
    </w:pPr>
    <w:rPr>
      <w:sz w:val="24"/>
    </w:rPr>
  </w:style>
  <w:style w:type="paragraph" w:customStyle="1" w:styleId="titreanx">
    <w:name w:val="titreanx"/>
    <w:basedOn w:val="Heading1"/>
    <w:rsid w:val="00406F9D"/>
    <w:pPr>
      <w:numPr>
        <w:numId w:val="0"/>
      </w:numPr>
    </w:pPr>
    <w:rPr>
      <w:rFonts w:ascii="Arial" w:hAnsi="Arial"/>
    </w:rPr>
  </w:style>
  <w:style w:type="character" w:customStyle="1" w:styleId="TitleChar">
    <w:name w:val="Title Char"/>
    <w:link w:val="Title"/>
    <w:uiPriority w:val="10"/>
    <w:rsid w:val="008839C5"/>
    <w:rPr>
      <w:rFonts w:ascii="Arial" w:hAnsi="Arial" w:cs="Arial"/>
      <w:b/>
      <w:bCs/>
      <w:sz w:val="24"/>
      <w:szCs w:val="24"/>
    </w:rPr>
  </w:style>
  <w:style w:type="paragraph" w:styleId="Subtitle">
    <w:name w:val="Subtitle"/>
    <w:basedOn w:val="1Translation"/>
    <w:next w:val="Normal"/>
    <w:link w:val="SubtitleChar"/>
    <w:uiPriority w:val="11"/>
    <w:rsid w:val="0019193B"/>
    <w:pPr>
      <w:spacing w:after="120"/>
      <w:ind w:left="2835"/>
    </w:pPr>
    <w:rPr>
      <w:sz w:val="24"/>
    </w:rPr>
  </w:style>
  <w:style w:type="character" w:customStyle="1" w:styleId="SubtitleChar">
    <w:name w:val="Subtitle Char"/>
    <w:link w:val="Subtitle"/>
    <w:uiPriority w:val="11"/>
    <w:rsid w:val="0019193B"/>
    <w:rPr>
      <w:rFonts w:ascii="Arial" w:hAnsi="Arial"/>
      <w:sz w:val="24"/>
      <w:szCs w:val="24"/>
      <w:lang w:val="en-GB"/>
    </w:rPr>
  </w:style>
  <w:style w:type="paragraph" w:customStyle="1" w:styleId="en-tte">
    <w:name w:val="en-tête"/>
    <w:basedOn w:val="Normal"/>
    <w:link w:val="en-tteCar"/>
    <w:qFormat/>
    <w:rsid w:val="00406F9D"/>
    <w:pPr>
      <w:pBdr>
        <w:bottom w:val="single" w:sz="2" w:space="1" w:color="auto"/>
      </w:pBdr>
      <w:ind w:left="284" w:hanging="284"/>
      <w:jc w:val="right"/>
    </w:pPr>
    <w:rPr>
      <w:sz w:val="16"/>
    </w:rPr>
  </w:style>
  <w:style w:type="character" w:styleId="SubtleEmphasis">
    <w:name w:val="Subtle Emphasis"/>
    <w:uiPriority w:val="19"/>
    <w:rsid w:val="00DE20F1"/>
    <w:rPr>
      <w:rFonts w:ascii="Calibri" w:hAnsi="Calibri"/>
      <w:color w:val="548DD4"/>
    </w:rPr>
  </w:style>
  <w:style w:type="character" w:styleId="IntenseReference">
    <w:name w:val="Intense Reference"/>
    <w:uiPriority w:val="32"/>
    <w:qFormat/>
    <w:rsid w:val="00735EBE"/>
    <w:rPr>
      <w:sz w:val="18"/>
      <w:lang w:val="en-GB"/>
    </w:rPr>
  </w:style>
  <w:style w:type="paragraph" w:customStyle="1" w:styleId="4organisme">
    <w:name w:val="4organisme"/>
    <w:basedOn w:val="Normal"/>
    <w:link w:val="4organismeCar"/>
    <w:qFormat/>
    <w:rsid w:val="00397B39"/>
    <w:pPr>
      <w:spacing w:before="0"/>
      <w:ind w:left="1418" w:right="567"/>
      <w:jc w:val="left"/>
    </w:pPr>
  </w:style>
  <w:style w:type="character" w:customStyle="1" w:styleId="en-tteCar">
    <w:name w:val="en-tête Car"/>
    <w:link w:val="en-tte"/>
    <w:rsid w:val="00406F9D"/>
    <w:rPr>
      <w:rFonts w:ascii="Arial" w:hAnsi="Arial"/>
      <w:sz w:val="16"/>
      <w:szCs w:val="24"/>
    </w:rPr>
  </w:style>
  <w:style w:type="character" w:styleId="CommentReference">
    <w:name w:val="annotation reference"/>
    <w:uiPriority w:val="99"/>
    <w:semiHidden/>
    <w:unhideWhenUsed/>
    <w:rsid w:val="007B7EBB"/>
    <w:rPr>
      <w:sz w:val="16"/>
      <w:szCs w:val="16"/>
    </w:rPr>
  </w:style>
  <w:style w:type="character" w:customStyle="1" w:styleId="4organismeCar">
    <w:name w:val="4organisme Car"/>
    <w:link w:val="4organisme"/>
    <w:rsid w:val="00397B39"/>
    <w:rPr>
      <w:rFonts w:ascii="Arial" w:hAnsi="Arial"/>
      <w:szCs w:val="24"/>
    </w:rPr>
  </w:style>
  <w:style w:type="paragraph" w:styleId="CommentText">
    <w:name w:val="annotation text"/>
    <w:basedOn w:val="Normal"/>
    <w:link w:val="CommentTextChar"/>
    <w:uiPriority w:val="99"/>
    <w:unhideWhenUsed/>
    <w:rsid w:val="007B7EBB"/>
    <w:rPr>
      <w:szCs w:val="20"/>
    </w:rPr>
  </w:style>
  <w:style w:type="character" w:customStyle="1" w:styleId="CommentTextChar">
    <w:name w:val="Comment Text Char"/>
    <w:link w:val="CommentText"/>
    <w:uiPriority w:val="99"/>
    <w:rsid w:val="007B7EBB"/>
    <w:rPr>
      <w:rFonts w:ascii="Arial" w:hAnsi="Arial"/>
    </w:rPr>
  </w:style>
  <w:style w:type="paragraph" w:styleId="CommentSubject">
    <w:name w:val="annotation subject"/>
    <w:basedOn w:val="CommentText"/>
    <w:next w:val="CommentText"/>
    <w:link w:val="CommentSubjectChar"/>
    <w:uiPriority w:val="99"/>
    <w:semiHidden/>
    <w:unhideWhenUsed/>
    <w:rsid w:val="007B7EBB"/>
    <w:rPr>
      <w:b/>
      <w:bCs/>
    </w:rPr>
  </w:style>
  <w:style w:type="character" w:customStyle="1" w:styleId="CommentSubjectChar">
    <w:name w:val="Comment Subject Char"/>
    <w:link w:val="CommentSubject"/>
    <w:uiPriority w:val="99"/>
    <w:semiHidden/>
    <w:rsid w:val="007B7EBB"/>
    <w:rPr>
      <w:rFonts w:ascii="Arial" w:hAnsi="Arial"/>
      <w:b/>
      <w:bCs/>
    </w:rPr>
  </w:style>
  <w:style w:type="paragraph" w:styleId="BalloonText">
    <w:name w:val="Balloon Text"/>
    <w:basedOn w:val="Normal"/>
    <w:link w:val="BalloonTextChar"/>
    <w:uiPriority w:val="99"/>
    <w:semiHidden/>
    <w:unhideWhenUsed/>
    <w:rsid w:val="007B7EBB"/>
    <w:pPr>
      <w:spacing w:before="0"/>
    </w:pPr>
    <w:rPr>
      <w:rFonts w:ascii="Tahoma" w:hAnsi="Tahoma" w:cs="Tahoma"/>
      <w:sz w:val="16"/>
      <w:szCs w:val="16"/>
    </w:rPr>
  </w:style>
  <w:style w:type="character" w:customStyle="1" w:styleId="BalloonTextChar">
    <w:name w:val="Balloon Text Char"/>
    <w:link w:val="BalloonText"/>
    <w:uiPriority w:val="99"/>
    <w:semiHidden/>
    <w:rsid w:val="007B7EBB"/>
    <w:rPr>
      <w:rFonts w:ascii="Tahoma" w:hAnsi="Tahoma" w:cs="Tahoma"/>
      <w:sz w:val="16"/>
      <w:szCs w:val="16"/>
    </w:rPr>
  </w:style>
  <w:style w:type="paragraph" w:styleId="NormalWeb">
    <w:name w:val="Normal (Web)"/>
    <w:basedOn w:val="Normal"/>
    <w:uiPriority w:val="99"/>
    <w:unhideWhenUsed/>
    <w:rsid w:val="00675070"/>
    <w:pPr>
      <w:widowControl/>
      <w:spacing w:before="100" w:beforeAutospacing="1" w:after="100" w:afterAutospacing="1"/>
      <w:jc w:val="left"/>
    </w:pPr>
    <w:rPr>
      <w:rFonts w:ascii="Times New Roman" w:hAnsi="Times New Roman"/>
      <w:sz w:val="24"/>
      <w:lang w:val="en-US" w:eastAsia="en-US"/>
    </w:rPr>
  </w:style>
  <w:style w:type="character" w:customStyle="1" w:styleId="katex-mathml">
    <w:name w:val="katex-mathml"/>
    <w:basedOn w:val="DefaultParagraphFont"/>
    <w:rsid w:val="00675070"/>
  </w:style>
  <w:style w:type="character" w:customStyle="1" w:styleId="mord">
    <w:name w:val="mord"/>
    <w:basedOn w:val="DefaultParagraphFont"/>
    <w:rsid w:val="00675070"/>
  </w:style>
  <w:style w:type="character" w:customStyle="1" w:styleId="mrel">
    <w:name w:val="mrel"/>
    <w:basedOn w:val="DefaultParagraphFont"/>
    <w:rsid w:val="00675070"/>
  </w:style>
  <w:style w:type="character" w:customStyle="1" w:styleId="mopen">
    <w:name w:val="mopen"/>
    <w:basedOn w:val="DefaultParagraphFont"/>
    <w:rsid w:val="00675070"/>
  </w:style>
  <w:style w:type="character" w:customStyle="1" w:styleId="mpunct">
    <w:name w:val="mpunct"/>
    <w:basedOn w:val="DefaultParagraphFont"/>
    <w:rsid w:val="00675070"/>
  </w:style>
  <w:style w:type="character" w:customStyle="1" w:styleId="mclose">
    <w:name w:val="mclose"/>
    <w:basedOn w:val="DefaultParagraphFont"/>
    <w:rsid w:val="00675070"/>
  </w:style>
  <w:style w:type="character" w:styleId="Strong">
    <w:name w:val="Strong"/>
    <w:basedOn w:val="DefaultParagraphFont"/>
    <w:uiPriority w:val="22"/>
    <w:qFormat/>
    <w:rsid w:val="00675070"/>
    <w:rPr>
      <w:b/>
      <w:bCs/>
    </w:rPr>
  </w:style>
  <w:style w:type="paragraph" w:styleId="ListParagraph">
    <w:name w:val="List Paragraph"/>
    <w:basedOn w:val="Normal"/>
    <w:uiPriority w:val="34"/>
    <w:rsid w:val="00F966C2"/>
    <w:pPr>
      <w:ind w:left="720"/>
      <w:contextualSpacing/>
    </w:pPr>
  </w:style>
  <w:style w:type="character" w:styleId="PlaceholderText">
    <w:name w:val="Placeholder Text"/>
    <w:basedOn w:val="DefaultParagraphFont"/>
    <w:uiPriority w:val="99"/>
    <w:semiHidden/>
    <w:rsid w:val="00F71CA4"/>
    <w:rPr>
      <w:color w:val="808080"/>
    </w:rPr>
  </w:style>
  <w:style w:type="paragraph" w:styleId="Revision">
    <w:name w:val="Revision"/>
    <w:hidden/>
    <w:uiPriority w:val="99"/>
    <w:semiHidden/>
    <w:rsid w:val="0046362F"/>
    <w:rPr>
      <w:rFonts w:asciiTheme="minorHAnsi" w:hAnsi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06769">
      <w:bodyDiv w:val="1"/>
      <w:marLeft w:val="0"/>
      <w:marRight w:val="0"/>
      <w:marTop w:val="0"/>
      <w:marBottom w:val="0"/>
      <w:divBdr>
        <w:top w:val="none" w:sz="0" w:space="0" w:color="auto"/>
        <w:left w:val="none" w:sz="0" w:space="0" w:color="auto"/>
        <w:bottom w:val="none" w:sz="0" w:space="0" w:color="auto"/>
        <w:right w:val="none" w:sz="0" w:space="0" w:color="auto"/>
      </w:divBdr>
    </w:div>
    <w:div w:id="412705746">
      <w:bodyDiv w:val="1"/>
      <w:marLeft w:val="0"/>
      <w:marRight w:val="0"/>
      <w:marTop w:val="0"/>
      <w:marBottom w:val="0"/>
      <w:divBdr>
        <w:top w:val="none" w:sz="0" w:space="0" w:color="auto"/>
        <w:left w:val="none" w:sz="0" w:space="0" w:color="auto"/>
        <w:bottom w:val="none" w:sz="0" w:space="0" w:color="auto"/>
        <w:right w:val="none" w:sz="0" w:space="0" w:color="auto"/>
      </w:divBdr>
    </w:div>
    <w:div w:id="467556549">
      <w:bodyDiv w:val="1"/>
      <w:marLeft w:val="0"/>
      <w:marRight w:val="0"/>
      <w:marTop w:val="0"/>
      <w:marBottom w:val="0"/>
      <w:divBdr>
        <w:top w:val="none" w:sz="0" w:space="0" w:color="auto"/>
        <w:left w:val="none" w:sz="0" w:space="0" w:color="auto"/>
        <w:bottom w:val="none" w:sz="0" w:space="0" w:color="auto"/>
        <w:right w:val="none" w:sz="0" w:space="0" w:color="auto"/>
      </w:divBdr>
    </w:div>
    <w:div w:id="670836975">
      <w:bodyDiv w:val="1"/>
      <w:marLeft w:val="0"/>
      <w:marRight w:val="0"/>
      <w:marTop w:val="0"/>
      <w:marBottom w:val="0"/>
      <w:divBdr>
        <w:top w:val="none" w:sz="0" w:space="0" w:color="auto"/>
        <w:left w:val="none" w:sz="0" w:space="0" w:color="auto"/>
        <w:bottom w:val="none" w:sz="0" w:space="0" w:color="auto"/>
        <w:right w:val="none" w:sz="0" w:space="0" w:color="auto"/>
      </w:divBdr>
    </w:div>
    <w:div w:id="1300498626">
      <w:bodyDiv w:val="1"/>
      <w:marLeft w:val="0"/>
      <w:marRight w:val="0"/>
      <w:marTop w:val="0"/>
      <w:marBottom w:val="0"/>
      <w:divBdr>
        <w:top w:val="none" w:sz="0" w:space="0" w:color="auto"/>
        <w:left w:val="none" w:sz="0" w:space="0" w:color="auto"/>
        <w:bottom w:val="none" w:sz="0" w:space="0" w:color="auto"/>
        <w:right w:val="none" w:sz="0" w:space="0" w:color="auto"/>
      </w:divBdr>
    </w:div>
    <w:div w:id="145051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F60F44DFF40DC49B22F1290DAC27D35" ma:contentTypeVersion="14" ma:contentTypeDescription="Crée un document." ma:contentTypeScope="" ma:versionID="2de795916097a7ada137eda4db8bb0cb">
  <xsd:schema xmlns:xsd="http://www.w3.org/2001/XMLSchema" xmlns:xs="http://www.w3.org/2001/XMLSchema" xmlns:p="http://schemas.microsoft.com/office/2006/metadata/properties" xmlns:ns2="d17ac1b6-3fb5-4b17-a073-724c0a731bcf" xmlns:ns3="551e59af-c345-4516-8904-314e9b251ad6" targetNamespace="http://schemas.microsoft.com/office/2006/metadata/properties" ma:root="true" ma:fieldsID="dd656efe17d67c524e47b54c69ebd80f" ns2:_="" ns3:_="">
    <xsd:import namespace="d17ac1b6-3fb5-4b17-a073-724c0a731bcf"/>
    <xsd:import namespace="551e59af-c345-4516-8904-314e9b251a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7ac1b6-3fb5-4b17-a073-724c0a731b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f2dbb24c-ba1d-4294-9915-f711720db87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1e59af-c345-4516-8904-314e9b251ad6"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46a4740-0f97-450b-92bd-08bc639275ae}" ma:internalName="TaxCatchAll" ma:showField="CatchAllData" ma:web="551e59af-c345-4516-8904-314e9b251a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1e59af-c345-4516-8904-314e9b251ad6" xsi:nil="true"/>
    <lcf76f155ced4ddcb4097134ff3c332f xmlns="d17ac1b6-3fb5-4b17-a073-724c0a731bc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94B1A8-30EA-47C3-9BE1-854FC3C60657}">
  <ds:schemaRefs>
    <ds:schemaRef ds:uri="http://schemas.openxmlformats.org/officeDocument/2006/bibliography"/>
  </ds:schemaRefs>
</ds:datastoreItem>
</file>

<file path=customXml/itemProps2.xml><?xml version="1.0" encoding="utf-8"?>
<ds:datastoreItem xmlns:ds="http://schemas.openxmlformats.org/officeDocument/2006/customXml" ds:itemID="{A1303880-CFF6-4353-9EED-6ED86044A12C}"/>
</file>

<file path=customXml/itemProps3.xml><?xml version="1.0" encoding="utf-8"?>
<ds:datastoreItem xmlns:ds="http://schemas.openxmlformats.org/officeDocument/2006/customXml" ds:itemID="{2F4B5CCD-CEA6-4717-8737-E89F31E9A933}"/>
</file>

<file path=customXml/itemProps4.xml><?xml version="1.0" encoding="utf-8"?>
<ds:datastoreItem xmlns:ds="http://schemas.openxmlformats.org/officeDocument/2006/customXml" ds:itemID="{BBCF1F00-38CD-42AD-AAF1-6C6DCA7DD3FA}"/>
</file>

<file path=docProps/app.xml><?xml version="1.0" encoding="utf-8"?>
<Properties xmlns="http://schemas.openxmlformats.org/officeDocument/2006/extended-properties" xmlns:vt="http://schemas.openxmlformats.org/officeDocument/2006/docPropsVTypes">
  <Template>Normal</Template>
  <TotalTime>0</TotalTime>
  <Pages>4</Pages>
  <Words>1809</Words>
  <Characters>11823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Novatech 2026 abstract</vt:lpstr>
      <vt:lpstr>communication novatech</vt:lpstr>
    </vt:vector>
  </TitlesOfParts>
  <Company>GRAIE</Company>
  <LinksUpToDate>false</LinksUpToDate>
  <CharactersWithSpaces>13605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Novatech 2026 abstract</dc:title>
  <dc:subject/>
  <dc:creator>GRAIE</dc:creator>
  <cp:keywords/>
  <dc:description/>
  <cp:lastModifiedBy>D. Dustegor</cp:lastModifiedBy>
  <cp:revision>3</cp:revision>
  <cp:lastPrinted>2025-12-04T00:26:00Z</cp:lastPrinted>
  <dcterms:created xsi:type="dcterms:W3CDTF">2025-12-04T14:10:00Z</dcterms:created>
  <dcterms:modified xsi:type="dcterms:W3CDTF">2025-12-04T14:10:00Z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0x010100EF60F44DFF40DC49B22F1290DAC27D35</vt:lpwstr>
  </property>
</Properties>
</file>